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75F6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4A5A2C4">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161FE23">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fldChar w:fldCharType="begin">
                <w:ffData>
                  <w:name w:val="ICS"/>
                  <w:enabled/>
                  <w:calcOnExit w:val="0"/>
                  <w:textInput>
                    <w:default w:val="91.100.01"/>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91.100.01</w:t>
            </w:r>
            <w:r>
              <w:rPr>
                <w:rFonts w:hint="eastAsia" w:ascii="黑体" w:hAnsi="黑体" w:eastAsia="黑体"/>
                <w:sz w:val="21"/>
                <w:szCs w:val="21"/>
              </w:rPr>
              <w:fldChar w:fldCharType="end"/>
            </w:r>
            <w:bookmarkEnd w:id="0"/>
          </w:p>
        </w:tc>
      </w:tr>
      <w:tr w14:paraId="32F96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15C3804">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CA48FB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9DDCA3F">
                  <w:pPr>
                    <w:pStyle w:val="51"/>
                    <w:framePr w:wrap="notBeside" w:vAnchor="page" w:hAnchor="page" w:x="1372" w:y="568"/>
                    <w:ind w:left="420" w:right="624"/>
                    <w:rPr>
                      <w:rFonts w:hint="eastAsia" w:ascii="宋体" w:hAnsi="宋体"/>
                      <w:sz w:val="28"/>
                      <w:szCs w:val="28"/>
                    </w:rPr>
                  </w:pPr>
                  <w:r>
                    <w:rPr>
                      <w:sz w:val="21"/>
                      <w:szCs w:val="21"/>
                    </w:rPr>
                    <w:t xml:space="preserve"> </w:t>
                  </w:r>
                </w:p>
              </w:tc>
            </w:tr>
          </w:tbl>
          <w:p w14:paraId="702ABF4A">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fldChar w:fldCharType="begin">
                <w:ffData>
                  <w:name w:val="CSDN"/>
                  <w:enabled/>
                  <w:calcOnExit w:val="0"/>
                  <w:textInput>
                    <w:default w:val="G 40"/>
                  </w:textInput>
                </w:ffData>
              </w:fldChar>
            </w:r>
            <w:bookmarkStart w:id="1"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XX</w:t>
            </w:r>
            <w:r>
              <w:rPr>
                <w:rFonts w:hint="eastAsia" w:ascii="黑体" w:hAnsi="黑体" w:eastAsia="黑体"/>
                <w:sz w:val="21"/>
                <w:szCs w:val="21"/>
              </w:rPr>
              <w:fldChar w:fldCharType="end"/>
            </w:r>
            <w:bookmarkEnd w:id="1"/>
          </w:p>
        </w:tc>
      </w:tr>
    </w:tbl>
    <w:p w14:paraId="2546ACEA">
      <w:pPr>
        <w:pStyle w:val="52"/>
        <w:framePr w:w="9639" w:h="1133" w:hRule="exact" w:hSpace="181" w:vSpace="181" w:wrap="around" w:hAnchor="page" w:x="1305" w:y="1420"/>
        <w:rPr>
          <w:rFonts w:hint="eastAsia" w:ascii="黑体" w:hAnsi="黑体" w:eastAsia="黑体"/>
          <w:b w:val="0"/>
          <w:bCs w:val="0"/>
          <w:w w:val="100"/>
          <w:sz w:val="72"/>
          <w:szCs w:val="72"/>
        </w:rPr>
      </w:pPr>
      <w:bookmarkStart w:id="2" w:name="_Hlk26473981"/>
      <w:r>
        <w:rPr>
          <w:rFonts w:hint="eastAsia" w:ascii="黑体" w:eastAsia="黑体"/>
          <w:b w:val="0"/>
          <w:w w:val="100"/>
          <w:sz w:val="72"/>
          <w:szCs w:val="72"/>
        </w:rPr>
        <w:t>团体</w:t>
      </w:r>
      <w:r>
        <w:rPr>
          <w:rFonts w:hint="eastAsia" w:ascii="黑体" w:hAnsi="黑体" w:eastAsia="黑体"/>
          <w:b w:val="0"/>
          <w:bCs w:val="0"/>
          <w:w w:val="100"/>
          <w:sz w:val="72"/>
          <w:szCs w:val="72"/>
        </w:rPr>
        <w:t>标准</w:t>
      </w:r>
    </w:p>
    <w:bookmarkEnd w:id="2"/>
    <w:p w14:paraId="2364547E">
      <w:pPr>
        <w:pStyle w:val="197"/>
      </w:pPr>
      <w:r>
        <w:t>T/</w:t>
      </w:r>
      <w:r>
        <w:fldChar w:fldCharType="begin">
          <w:ffData>
            <w:name w:val="文字1"/>
            <w:enabled/>
            <w:calcOnExit w:val="0"/>
            <w:textInput>
              <w:default w:val="AQB"/>
            </w:textInput>
          </w:ffData>
        </w:fldChar>
      </w:r>
      <w:bookmarkStart w:id="3" w:name="文字1"/>
      <w:r>
        <w:instrText xml:space="preserve"> FORMTEXT </w:instrText>
      </w:r>
      <w:r>
        <w:fldChar w:fldCharType="separate"/>
      </w:r>
      <w:r>
        <w:t>AQB</w:t>
      </w:r>
      <w:r>
        <w:fldChar w:fldCharType="end"/>
      </w:r>
      <w:bookmarkEnd w:id="3"/>
      <w:r>
        <w:t xml:space="preserve"> </w:t>
      </w:r>
      <w:r>
        <w:fldChar w:fldCharType="begin">
          <w:ffData>
            <w:name w:val="NSTD_CODE_F"/>
            <w:enabled/>
            <w:calcOnExit w:val="0"/>
            <w:textInput>
              <w:default w:val="58"/>
            </w:textInput>
          </w:ffData>
        </w:fldChar>
      </w:r>
      <w:bookmarkStart w:id="4" w:name="NSTD_CODE_F"/>
      <w:r>
        <w:instrText xml:space="preserve"> FORMTEXT </w:instrText>
      </w:r>
      <w:r>
        <w:fldChar w:fldCharType="separate"/>
      </w:r>
      <w:r>
        <w:rPr>
          <w:rFonts w:hint="eastAsia"/>
        </w:rPr>
        <w:t>XX</w:t>
      </w:r>
      <w:r>
        <w:fldChar w:fldCharType="end"/>
      </w:r>
      <w:bookmarkEnd w:id="4"/>
      <w:r>
        <w:rPr>
          <w:rFonts w:hAnsi="黑体"/>
        </w:rPr>
        <w:t>—</w:t>
      </w:r>
      <w:r>
        <w:fldChar w:fldCharType="begin">
          <w:ffData>
            <w:name w:val="NSTD_CODE_B"/>
            <w:enabled/>
            <w:calcOnExit w:val="0"/>
            <w:textInput>
              <w:default w:val="2024"/>
            </w:textInput>
          </w:ffData>
        </w:fldChar>
      </w:r>
      <w:bookmarkStart w:id="5" w:name="NSTD_CODE_B"/>
      <w:r>
        <w:instrText xml:space="preserve"> FORMTEXT </w:instrText>
      </w:r>
      <w:r>
        <w:fldChar w:fldCharType="separate"/>
      </w:r>
      <w:r>
        <w:t>202</w:t>
      </w:r>
      <w:r>
        <w:rPr>
          <w:rFonts w:hint="eastAsia"/>
        </w:rPr>
        <w:t>5</w:t>
      </w:r>
      <w:r>
        <w:fldChar w:fldCharType="end"/>
      </w:r>
      <w:bookmarkEnd w:id="5"/>
    </w:p>
    <w:p w14:paraId="5B0A2430">
      <w:pPr>
        <w:pStyle w:val="198"/>
        <w:rPr>
          <w:rFonts w:hint="eastAsia" w:hAnsi="黑体"/>
        </w:rPr>
      </w:pPr>
      <w:r>
        <w:rPr>
          <w:rFonts w:hint="eastAsia" w:hAnsi="黑体"/>
        </w:rPr>
        <w:fldChar w:fldCharType="begin">
          <w:ffData>
            <w:name w:val="OSTD_CODE"/>
            <w:enabled/>
            <w:calcOnExit w:val="0"/>
            <w:textInput>
              <w:default w:val="代替 T/AQB 40-2023"/>
            </w:textInput>
          </w:ffData>
        </w:fldChar>
      </w:r>
      <w:bookmarkStart w:id="6" w:name="OSTD_CODE"/>
      <w:r>
        <w:rPr>
          <w:rFonts w:hint="eastAsia" w:hAnsi="黑体"/>
        </w:rPr>
        <w:instrText xml:space="preserve"> </w:instrText>
      </w:r>
      <w:r>
        <w:rPr>
          <w:rFonts w:hAnsi="黑体"/>
        </w:rPr>
        <w:instrText xml:space="preserve">FORMTEXT</w:instrText>
      </w:r>
      <w:r>
        <w:rPr>
          <w:rFonts w:hint="eastAsia" w:hAnsi="黑体"/>
        </w:rPr>
        <w:instrText xml:space="preserve"> </w:instrText>
      </w:r>
      <w:r>
        <w:rPr>
          <w:rFonts w:hint="eastAsia" w:hAnsi="黑体"/>
        </w:rPr>
        <w:fldChar w:fldCharType="separate"/>
      </w:r>
      <w:r>
        <w:rPr>
          <w:rFonts w:hint="eastAsia" w:hAnsi="黑体"/>
        </w:rPr>
        <w:t>XX</w:t>
      </w:r>
      <w:r>
        <w:rPr>
          <w:rFonts w:hint="eastAsia" w:hAnsi="黑体"/>
        </w:rPr>
        <w:fldChar w:fldCharType="end"/>
      </w:r>
      <w:bookmarkEnd w:id="6"/>
    </w:p>
    <w:p w14:paraId="2F1B2B0B">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04F0429">
      <w:pPr>
        <w:pStyle w:val="52"/>
        <w:framePr w:w="9639" w:h="6976" w:hRule="exact" w:hSpace="0" w:vSpace="0" w:wrap="around" w:hAnchor="page" w:y="6408"/>
        <w:jc w:val="center"/>
        <w:rPr>
          <w:rFonts w:hint="eastAsia" w:ascii="黑体" w:hAnsi="黑体" w:eastAsia="黑体"/>
          <w:b w:val="0"/>
          <w:bCs w:val="0"/>
          <w:w w:val="100"/>
        </w:rPr>
      </w:pPr>
    </w:p>
    <w:p w14:paraId="325F7775">
      <w:pPr>
        <w:pStyle w:val="199"/>
        <w:framePr w:h="6974" w:hRule="exact" w:wrap="around" w:x="1419" w:anchorLock="1"/>
        <w:rPr>
          <w:rFonts w:hint="eastAsia"/>
        </w:rPr>
      </w:pPr>
      <w:r>
        <w:rPr>
          <w:rFonts w:hint="eastAsia"/>
        </w:rPr>
        <w:fldChar w:fldCharType="begin">
          <w:ffData>
            <w:name w:val="CSTD_NAME"/>
            <w:enabled/>
            <w:calcOnExit w:val="0"/>
            <w:textInput>
              <w:default w:val="建筑用免拆保温模板"/>
            </w:textInput>
          </w:ffData>
        </w:fldChar>
      </w:r>
      <w:bookmarkStart w:id="7" w:name="CSTD_NAME"/>
      <w:r>
        <w:rPr>
          <w:rFonts w:hint="eastAsia"/>
        </w:rPr>
        <w:instrText xml:space="preserve"> FORMTEXT </w:instrText>
      </w:r>
      <w:r>
        <w:rPr>
          <w:rFonts w:hint="eastAsia"/>
        </w:rPr>
        <w:fldChar w:fldCharType="separate"/>
      </w:r>
      <w:r>
        <w:rPr>
          <w:rFonts w:hint="eastAsia"/>
        </w:rPr>
        <w:t>既有建筑屋面外墙渗漏修缮工程规范</w:t>
      </w:r>
      <w:r>
        <w:rPr>
          <w:rFonts w:hint="eastAsia"/>
        </w:rPr>
        <w:fldChar w:fldCharType="end"/>
      </w:r>
      <w:bookmarkEnd w:id="7"/>
    </w:p>
    <w:p w14:paraId="13767FD3">
      <w:pPr>
        <w:framePr w:w="9639" w:h="6974" w:hRule="exact" w:wrap="around" w:vAnchor="page" w:hAnchor="page" w:x="1419" w:y="6408" w:anchorLock="1"/>
        <w:ind w:left="-1418"/>
      </w:pPr>
    </w:p>
    <w:p w14:paraId="44127D98">
      <w:pPr>
        <w:pStyle w:val="127"/>
        <w:framePr w:w="9639" w:h="6974" w:hRule="exact" w:wrap="around" w:vAnchor="page" w:hAnchor="page" w:x="1419" w:y="6408" w:anchorLock="1"/>
        <w:textAlignment w:val="bottom"/>
        <w:rPr>
          <w:rFonts w:eastAsia="黑体"/>
          <w:szCs w:val="28"/>
        </w:rPr>
      </w:pPr>
      <w:bookmarkStart w:id="8" w:name="ESTD_NAME"/>
      <w:r>
        <w:rPr>
          <w:rFonts w:hint="eastAsia" w:ascii="Times New Roman" w:hAnsi="Times New Roman" w:eastAsia="黑体" w:cs="Times New Roman"/>
          <w:sz w:val="28"/>
          <w:szCs w:val="28"/>
          <w:lang w:val="en-US" w:eastAsia="zh-CN" w:bidi="ar-SA"/>
        </w:rPr>
        <w:fldChar w:fldCharType="begin">
          <w:ffData>
            <w:name w:val="ESTD_NAME"/>
            <w:enabled/>
            <w:calcOnExit w:val="0"/>
            <w:textInput>
              <w:default w:val="Code for repair and renovation of roof and exterior wall leakage in existing buildings"/>
            </w:textInput>
          </w:ffData>
        </w:fldChar>
      </w:r>
      <w:r>
        <w:rPr>
          <w:rFonts w:hint="eastAsia" w:ascii="Times New Roman" w:hAnsi="Times New Roman" w:eastAsia="黑体" w:cs="Times New Roman"/>
          <w:sz w:val="28"/>
          <w:szCs w:val="28"/>
          <w:lang w:val="en-US" w:eastAsia="zh-CN" w:bidi="ar-SA"/>
        </w:rPr>
        <w:instrText xml:space="preserve">FORMTEXT</w:instrText>
      </w:r>
      <w:r>
        <w:rPr>
          <w:rFonts w:hint="eastAsia" w:ascii="Times New Roman" w:hAnsi="Times New Roman" w:eastAsia="黑体" w:cs="Times New Roman"/>
          <w:sz w:val="28"/>
          <w:szCs w:val="28"/>
          <w:lang w:val="en-US" w:eastAsia="zh-CN" w:bidi="ar-SA"/>
        </w:rPr>
        <w:fldChar w:fldCharType="separate"/>
      </w:r>
      <w:r>
        <w:rPr>
          <w:rFonts w:hint="eastAsia" w:ascii="Times New Roman" w:hAnsi="Times New Roman" w:eastAsia="黑体" w:cs="Times New Roman"/>
          <w:sz w:val="28"/>
          <w:szCs w:val="28"/>
          <w:lang w:val="en-US" w:eastAsia="zh-CN" w:bidi="ar-SA"/>
        </w:rPr>
        <w:t>Code for repair and renovation of roof and exterior wall leakage in existing buildings</w:t>
      </w:r>
      <w:r>
        <w:rPr>
          <w:rFonts w:hint="eastAsia" w:ascii="Times New Roman" w:hAnsi="Times New Roman" w:eastAsia="黑体" w:cs="Times New Roman"/>
          <w:sz w:val="28"/>
          <w:szCs w:val="28"/>
          <w:lang w:val="en-US" w:eastAsia="zh-CN" w:bidi="ar-SA"/>
        </w:rPr>
        <w:fldChar w:fldCharType="end"/>
      </w:r>
      <w:bookmarkEnd w:id="8"/>
    </w:p>
    <w:p w14:paraId="1469160D">
      <w:pPr>
        <w:framePr w:w="9639" w:h="6974" w:hRule="exact" w:wrap="around" w:vAnchor="page" w:hAnchor="page" w:x="1419" w:y="6408" w:anchorLock="1"/>
        <w:spacing w:line="760" w:lineRule="exact"/>
        <w:ind w:left="-1418"/>
      </w:pPr>
    </w:p>
    <w:p w14:paraId="1E7F9E6E">
      <w:pPr>
        <w:pStyle w:val="127"/>
        <w:framePr w:w="9639" w:h="6974" w:hRule="exact" w:wrap="around" w:vAnchor="page" w:hAnchor="page" w:x="1419" w:y="6408" w:anchorLock="1"/>
        <w:textAlignment w:val="bottom"/>
        <w:rPr>
          <w:rFonts w:eastAsia="黑体"/>
          <w:szCs w:val="28"/>
        </w:rPr>
      </w:pPr>
    </w:p>
    <w:p w14:paraId="20EDB429">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5A254656">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630828FB">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4B1919EC">
      <w:pPr>
        <w:pStyle w:val="195"/>
        <w:framePr w:wrap="around" w:y="14176"/>
      </w:pPr>
      <w:r>
        <w:rPr>
          <w:rFonts w:ascii="黑体"/>
        </w:rPr>
        <w:fldChar w:fldCharType="begin">
          <w:ffData>
            <w:name w:val="PLSH_DATE_Y"/>
            <w:enabled/>
            <w:calcOnExit w:val="0"/>
            <w:textInput>
              <w:default w:val="2024"/>
              <w:maxLength w:val="4"/>
            </w:textInput>
          </w:ffData>
        </w:fldChar>
      </w:r>
      <w:bookmarkStart w:id="12" w:name="PLSH_DATE_Y"/>
      <w:r>
        <w:rPr>
          <w:rFonts w:ascii="黑体"/>
        </w:rPr>
        <w:instrText xml:space="preserve"> FORMTEXT </w:instrText>
      </w:r>
      <w:r>
        <w:rPr>
          <w:rFonts w:ascii="黑体"/>
        </w:rPr>
        <w:fldChar w:fldCharType="separate"/>
      </w:r>
      <w:r>
        <w:rPr>
          <w:rFonts w:ascii="黑体"/>
        </w:rPr>
        <w:t>202</w:t>
      </w:r>
      <w:r>
        <w:rPr>
          <w:rFonts w:hint="eastAsia" w:ascii="黑体"/>
        </w:rPr>
        <w:t>5</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04"/>
              <w:maxLength w:val="2"/>
            </w:textInput>
          </w:ffData>
        </w:fldChar>
      </w:r>
      <w:bookmarkStart w:id="13" w:name="PLSH_DATE_M"/>
      <w:r>
        <w:rPr>
          <w:rFonts w:ascii="黑体"/>
        </w:rPr>
        <w:instrText xml:space="preserve"> FORMTEXT </w:instrText>
      </w:r>
      <w:r>
        <w:rPr>
          <w:rFonts w:ascii="黑体"/>
        </w:rPr>
        <w:fldChar w:fldCharType="separate"/>
      </w:r>
      <w:r>
        <w:rPr>
          <w:rFonts w:hint="eastAsia" w:ascii="黑体"/>
        </w:rPr>
        <w:t>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03"/>
              <w:maxLength w:val="2"/>
            </w:textInput>
          </w:ffData>
        </w:fldChar>
      </w:r>
      <w:bookmarkStart w:id="14"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rPr>
          <w:rFonts w:hint="eastAsia"/>
        </w:rPr>
        <w:t>发布</w:t>
      </w:r>
    </w:p>
    <w:p w14:paraId="1D044C6D">
      <w:pPr>
        <w:pStyle w:val="196"/>
        <w:framePr w:wrap="around" w:y="14176"/>
      </w:pPr>
      <w:r>
        <w:rPr>
          <w:rFonts w:ascii="黑体"/>
        </w:rPr>
        <w:fldChar w:fldCharType="begin">
          <w:ffData>
            <w:name w:val="CROT_DATE_Y"/>
            <w:enabled/>
            <w:calcOnExit w:val="0"/>
            <w:textInput>
              <w:default w:val="2024"/>
              <w:maxLength w:val="4"/>
            </w:textInput>
          </w:ffData>
        </w:fldChar>
      </w:r>
      <w:bookmarkStart w:id="15" w:name="CROT_DATE_Y"/>
      <w:r>
        <w:rPr>
          <w:rFonts w:ascii="黑体"/>
        </w:rPr>
        <w:instrText xml:space="preserve"> FORMTEXT </w:instrText>
      </w:r>
      <w:r>
        <w:rPr>
          <w:rFonts w:ascii="黑体"/>
        </w:rPr>
        <w:fldChar w:fldCharType="separate"/>
      </w:r>
      <w:r>
        <w:rPr>
          <w:rFonts w:ascii="黑体"/>
        </w:rPr>
        <w:t>202</w:t>
      </w:r>
      <w:r>
        <w:rPr>
          <w:rFonts w:hint="eastAsia" w:ascii="黑体"/>
        </w:rPr>
        <w:t>5</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04"/>
              <w:maxLength w:val="2"/>
            </w:textInput>
          </w:ffData>
        </w:fldChar>
      </w:r>
      <w:bookmarkStart w:id="16"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15"/>
              <w:maxLength w:val="2"/>
            </w:textInput>
          </w:ffData>
        </w:fldChar>
      </w:r>
      <w:bookmarkStart w:id="17"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rPr>
          <w:rFonts w:hint="eastAsia"/>
        </w:rPr>
        <w:t>实施</w:t>
      </w:r>
    </w:p>
    <w:p w14:paraId="48F4B555">
      <w:pPr>
        <w:pStyle w:val="153"/>
        <w:framePr w:h="584" w:hRule="exact" w:hSpace="181" w:vSpace="181" w:wrap="around" w:vAnchor="page" w:y="12931"/>
        <w:rPr>
          <w:rFonts w:hint="eastAsia" w:ascii="宋体" w:hAnsi="宋体"/>
          <w:sz w:val="28"/>
          <w:szCs w:val="28"/>
        </w:rPr>
      </w:pPr>
      <w:r>
        <w:rPr>
          <w:rFonts w:hint="eastAsia" w:ascii="宋体" w:hAnsi="宋体"/>
          <w:sz w:val="28"/>
          <w:szCs w:val="28"/>
        </w:rPr>
        <w:t xml:space="preserve"> </w:t>
      </w:r>
    </w:p>
    <w:tbl>
      <w:tblPr>
        <w:tblStyle w:val="28"/>
        <w:tblpPr w:leftFromText="180" w:rightFromText="180" w:vertAnchor="text" w:horzAnchor="margin" w:tblpXSpec="center" w:tblpY="12064"/>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82"/>
        <w:gridCol w:w="1438"/>
      </w:tblGrid>
      <w:tr w14:paraId="2244492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82" w:type="dxa"/>
            <w:tcBorders>
              <w:top w:val="nil"/>
              <w:left w:val="nil"/>
              <w:bottom w:val="nil"/>
              <w:right w:val="nil"/>
            </w:tcBorders>
          </w:tcPr>
          <w:p w14:paraId="6EDD5F82">
            <w:pPr>
              <w:pStyle w:val="153"/>
              <w:framePr w:wrap="auto" w:vAnchor="margin" w:hAnchor="text" w:yAlign="inline"/>
              <w:jc w:val="distribute"/>
              <w:rPr>
                <w:rFonts w:hint="eastAsia" w:hAnsi="黑体"/>
                <w:sz w:val="24"/>
                <w:szCs w:val="24"/>
              </w:rPr>
            </w:pPr>
            <w:r>
              <w:rPr>
                <w:rFonts w:hint="eastAsia" w:hAnsi="黑体"/>
                <w:sz w:val="24"/>
                <w:szCs w:val="24"/>
              </w:rPr>
              <w:t xml:space="preserve">安徽省质量品牌促进会  </w:t>
            </w:r>
          </w:p>
        </w:tc>
        <w:tc>
          <w:tcPr>
            <w:tcW w:w="1438" w:type="dxa"/>
            <w:vMerge w:val="restart"/>
            <w:tcBorders>
              <w:top w:val="nil"/>
              <w:left w:val="nil"/>
              <w:bottom w:val="nil"/>
              <w:right w:val="nil"/>
            </w:tcBorders>
            <w:vAlign w:val="center"/>
          </w:tcPr>
          <w:p w14:paraId="3DA5F211">
            <w:pPr>
              <w:pStyle w:val="153"/>
              <w:framePr w:wrap="auto" w:vAnchor="margin" w:hAnchor="text" w:yAlign="inline"/>
              <w:rPr>
                <w:rStyle w:val="231"/>
                <w:rFonts w:hint="eastAsia" w:hAnsi="黑体"/>
                <w:position w:val="0"/>
              </w:rPr>
            </w:pPr>
            <w:r>
              <w:rPr>
                <w:rStyle w:val="231"/>
                <w:rFonts w:hint="eastAsia" w:hAnsi="黑体"/>
                <w:position w:val="0"/>
              </w:rPr>
              <w:t>发布</w:t>
            </w:r>
          </w:p>
        </w:tc>
      </w:tr>
      <w:tr w14:paraId="53E5190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82" w:type="dxa"/>
            <w:tcBorders>
              <w:top w:val="nil"/>
              <w:left w:val="nil"/>
              <w:bottom w:val="nil"/>
              <w:right w:val="nil"/>
            </w:tcBorders>
          </w:tcPr>
          <w:p w14:paraId="30B60706">
            <w:pPr>
              <w:pStyle w:val="153"/>
              <w:framePr w:wrap="auto" w:vAnchor="margin" w:hAnchor="text" w:yAlign="inline"/>
              <w:jc w:val="distribute"/>
              <w:rPr>
                <w:rFonts w:hint="eastAsia" w:hAnsi="黑体"/>
                <w:sz w:val="24"/>
                <w:szCs w:val="24"/>
              </w:rPr>
            </w:pPr>
            <w:r>
              <w:rPr>
                <w:rFonts w:hint="eastAsia" w:hAnsi="黑体"/>
                <w:sz w:val="24"/>
                <w:szCs w:val="24"/>
              </w:rPr>
              <w:t>安徽省防水防腐保温行业协会</w:t>
            </w:r>
          </w:p>
        </w:tc>
        <w:tc>
          <w:tcPr>
            <w:tcW w:w="0" w:type="auto"/>
            <w:vMerge w:val="continue"/>
            <w:tcBorders>
              <w:top w:val="nil"/>
              <w:left w:val="nil"/>
              <w:bottom w:val="nil"/>
              <w:right w:val="nil"/>
            </w:tcBorders>
            <w:vAlign w:val="center"/>
          </w:tcPr>
          <w:p w14:paraId="52384613">
            <w:pPr>
              <w:pStyle w:val="153"/>
              <w:framePr w:wrap="auto" w:vAnchor="margin" w:hAnchor="text" w:yAlign="inline"/>
              <w:rPr>
                <w:rFonts w:hint="eastAsia" w:ascii="宋体" w:hAnsi="宋体"/>
                <w:sz w:val="28"/>
                <w:szCs w:val="28"/>
              </w:rPr>
            </w:pPr>
          </w:p>
        </w:tc>
      </w:tr>
    </w:tbl>
    <w:p w14:paraId="16FDD805">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bookmarkStart w:id="55" w:name="_GoBack"/>
      <w:bookmarkEnd w:id="55"/>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5752851">
      <w:pPr>
        <w:pStyle w:val="93"/>
        <w:spacing w:after="360"/>
        <w:rPr>
          <w:rFonts w:hint="eastAsia"/>
        </w:rPr>
      </w:pPr>
      <w:bookmarkStart w:id="18" w:name="BookMark1"/>
      <w:r>
        <w:rPr>
          <w:rFonts w:hint="eastAsia"/>
          <w:spacing w:val="320"/>
        </w:rPr>
        <w:t>目</w:t>
      </w:r>
      <w:r>
        <w:rPr>
          <w:rFonts w:hint="eastAsia"/>
        </w:rPr>
        <w:t>次</w:t>
      </w:r>
    </w:p>
    <w:p w14:paraId="7516B806">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"_Toc196397408" </w:instrText>
      </w:r>
      <w:r>
        <w:fldChar w:fldCharType="separate"/>
      </w:r>
      <w:r>
        <w:rPr>
          <w:rStyle w:val="33"/>
          <w:rFonts w:hint="eastAsia"/>
        </w:rPr>
        <w:t>前言</w:t>
      </w:r>
      <w:r>
        <w:rPr>
          <w:rFonts w:hint="eastAsia"/>
        </w:rPr>
        <w:tab/>
      </w:r>
      <w:r>
        <w:rPr>
          <w:rFonts w:hint="eastAsia"/>
        </w:rPr>
        <w:fldChar w:fldCharType="begin"/>
      </w:r>
      <w:r>
        <w:rPr>
          <w:rFonts w:hint="eastAsia"/>
        </w:rPr>
        <w:instrText xml:space="preserve"> </w:instrText>
      </w:r>
      <w:r>
        <w:instrText xml:space="preserve">PAGEREF _Toc196397408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039EB159">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"_Toc196397409" </w:instrText>
      </w:r>
      <w:r>
        <w:fldChar w:fldCharType="separate"/>
      </w:r>
      <w:r>
        <w:rPr>
          <w:rStyle w:val="33"/>
          <w:rFonts w:hint="eastAsia"/>
        </w:rPr>
        <w:t>1</w:t>
      </w:r>
      <w:r>
        <w:rPr>
          <w:rStyle w:val="33"/>
        </w:rPr>
        <w:t xml:space="preserve"> </w:t>
      </w:r>
      <w:r>
        <w:rPr>
          <w:rStyle w:val="33"/>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_Toc196397409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7A065DD9">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"_Toc196397410" </w:instrText>
      </w:r>
      <w:r>
        <w:fldChar w:fldCharType="separate"/>
      </w:r>
      <w:r>
        <w:rPr>
          <w:rStyle w:val="33"/>
          <w:rFonts w:hint="eastAsia"/>
        </w:rPr>
        <w:t>2</w:t>
      </w:r>
      <w:r>
        <w:rPr>
          <w:rStyle w:val="33"/>
        </w:rPr>
        <w:t xml:space="preserve"> </w:t>
      </w:r>
      <w:r>
        <w:rPr>
          <w:rStyle w:val="33"/>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_Toc196397410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614B48B6">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"_Toc196397411" </w:instrText>
      </w:r>
      <w:r>
        <w:fldChar w:fldCharType="separate"/>
      </w:r>
      <w:r>
        <w:rPr>
          <w:rStyle w:val="33"/>
          <w:rFonts w:hint="eastAsia"/>
        </w:rPr>
        <w:t>3</w:t>
      </w:r>
      <w:r>
        <w:rPr>
          <w:rStyle w:val="33"/>
        </w:rPr>
        <w:t xml:space="preserve"> </w:t>
      </w:r>
      <w:r>
        <w:rPr>
          <w:rStyle w:val="33"/>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_Toc196397411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20316A20">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"_Toc196397412" </w:instrText>
      </w:r>
      <w:r>
        <w:fldChar w:fldCharType="separate"/>
      </w:r>
      <w:r>
        <w:rPr>
          <w:rStyle w:val="33"/>
          <w:rFonts w:hint="eastAsia"/>
        </w:rPr>
        <w:t>4</w:t>
      </w:r>
      <w:r>
        <w:rPr>
          <w:rStyle w:val="33"/>
        </w:rPr>
        <w:t xml:space="preserve"> </w:t>
      </w:r>
      <w:r>
        <w:rPr>
          <w:rStyle w:val="33"/>
          <w:rFonts w:hint="eastAsia"/>
        </w:rPr>
        <w:t xml:space="preserve"> 查勘</w:t>
      </w:r>
      <w:r>
        <w:rPr>
          <w:rFonts w:hint="eastAsia"/>
        </w:rPr>
        <w:tab/>
      </w:r>
      <w:r>
        <w:rPr>
          <w:rFonts w:hint="eastAsia"/>
        </w:rPr>
        <w:fldChar w:fldCharType="begin"/>
      </w:r>
      <w:r>
        <w:rPr>
          <w:rFonts w:hint="eastAsia"/>
        </w:rPr>
        <w:instrText xml:space="preserve"> </w:instrText>
      </w:r>
      <w:r>
        <w:instrText xml:space="preserve">PAGEREF _Toc196397412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22C118B5">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"_Toc196397413" </w:instrText>
      </w:r>
      <w:r>
        <w:fldChar w:fldCharType="separate"/>
      </w:r>
      <w:r>
        <w:rPr>
          <w:rStyle w:val="33"/>
          <w:rFonts w:hint="eastAsia"/>
        </w:rPr>
        <w:t>5</w:t>
      </w:r>
      <w:r>
        <w:rPr>
          <w:rStyle w:val="33"/>
        </w:rPr>
        <w:t xml:space="preserve"> </w:t>
      </w:r>
      <w:r>
        <w:rPr>
          <w:rStyle w:val="33"/>
          <w:rFonts w:hint="eastAsia"/>
        </w:rPr>
        <w:t xml:space="preserve"> 修缮方案</w:t>
      </w:r>
      <w:r>
        <w:rPr>
          <w:rFonts w:hint="eastAsia"/>
        </w:rPr>
        <w:tab/>
      </w:r>
      <w:r>
        <w:rPr>
          <w:rFonts w:hint="eastAsia"/>
        </w:rPr>
        <w:fldChar w:fldCharType="begin"/>
      </w:r>
      <w:r>
        <w:rPr>
          <w:rFonts w:hint="eastAsia"/>
        </w:rPr>
        <w:instrText xml:space="preserve"> </w:instrText>
      </w:r>
      <w:r>
        <w:instrText xml:space="preserve">PAGEREF _Toc196397413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64DD8B61">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"_Toc196397414" </w:instrText>
      </w:r>
      <w:r>
        <w:fldChar w:fldCharType="separate"/>
      </w:r>
      <w:r>
        <w:rPr>
          <w:rStyle w:val="33"/>
          <w:rFonts w:hint="eastAsia"/>
        </w:rPr>
        <w:t>6</w:t>
      </w:r>
      <w:r>
        <w:rPr>
          <w:rStyle w:val="33"/>
        </w:rPr>
        <w:t xml:space="preserve"> </w:t>
      </w:r>
      <w:r>
        <w:rPr>
          <w:rStyle w:val="33"/>
          <w:rFonts w:hint="eastAsia"/>
        </w:rPr>
        <w:t xml:space="preserve"> 施工</w:t>
      </w:r>
      <w:r>
        <w:rPr>
          <w:rFonts w:hint="eastAsia"/>
        </w:rPr>
        <w:tab/>
      </w:r>
      <w:r>
        <w:rPr>
          <w:rFonts w:hint="eastAsia"/>
        </w:rPr>
        <w:fldChar w:fldCharType="begin"/>
      </w:r>
      <w:r>
        <w:rPr>
          <w:rFonts w:hint="eastAsia"/>
        </w:rPr>
        <w:instrText xml:space="preserve"> </w:instrText>
      </w:r>
      <w:r>
        <w:instrText xml:space="preserve">PAGEREF _Toc196397414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2238E7D9">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"_Toc196397415" </w:instrText>
      </w:r>
      <w:r>
        <w:fldChar w:fldCharType="separate"/>
      </w:r>
      <w:r>
        <w:rPr>
          <w:rStyle w:val="33"/>
          <w:rFonts w:hint="eastAsia"/>
        </w:rPr>
        <w:t>7</w:t>
      </w:r>
      <w:r>
        <w:rPr>
          <w:rStyle w:val="33"/>
        </w:rPr>
        <w:t xml:space="preserve"> </w:t>
      </w:r>
      <w:r>
        <w:rPr>
          <w:rStyle w:val="33"/>
          <w:rFonts w:hint="eastAsia"/>
        </w:rPr>
        <w:t xml:space="preserve"> 验收</w:t>
      </w:r>
      <w:r>
        <w:rPr>
          <w:rFonts w:hint="eastAsia"/>
        </w:rPr>
        <w:tab/>
      </w:r>
      <w:r>
        <w:rPr>
          <w:rFonts w:hint="eastAsia"/>
        </w:rPr>
        <w:fldChar w:fldCharType="begin"/>
      </w:r>
      <w:r>
        <w:rPr>
          <w:rFonts w:hint="eastAsia"/>
        </w:rPr>
        <w:instrText xml:space="preserve"> </w:instrText>
      </w:r>
      <w:r>
        <w:instrText xml:space="preserve">PAGEREF _Toc196397415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7C2340FA">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"_Toc196397416" </w:instrText>
      </w:r>
      <w:r>
        <w:fldChar w:fldCharType="separate"/>
      </w:r>
      <w:r>
        <w:rPr>
          <w:rStyle w:val="33"/>
          <w:rFonts w:hint="eastAsia"/>
        </w:rPr>
        <w:t>8</w:t>
      </w:r>
      <w:r>
        <w:rPr>
          <w:rStyle w:val="33"/>
        </w:rPr>
        <w:t xml:space="preserve"> </w:t>
      </w:r>
      <w:r>
        <w:rPr>
          <w:rStyle w:val="33"/>
          <w:rFonts w:hint="eastAsia"/>
        </w:rPr>
        <w:t xml:space="preserve"> 维护与保养</w:t>
      </w:r>
      <w:r>
        <w:rPr>
          <w:rFonts w:hint="eastAsia"/>
        </w:rPr>
        <w:tab/>
      </w:r>
      <w:r>
        <w:rPr>
          <w:rFonts w:hint="eastAsia"/>
        </w:rPr>
        <w:fldChar w:fldCharType="begin"/>
      </w:r>
      <w:r>
        <w:rPr>
          <w:rFonts w:hint="eastAsia"/>
        </w:rPr>
        <w:instrText xml:space="preserve"> </w:instrText>
      </w:r>
      <w:r>
        <w:instrText xml:space="preserve">PAGEREF _Toc196397416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1C65C3F9">
      <w:pPr>
        <w:pStyle w:val="93"/>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8"/>
    <w:p w14:paraId="0A87EBEA">
      <w:pPr>
        <w:pStyle w:val="91"/>
        <w:spacing w:before="900" w:after="360"/>
      </w:pPr>
      <w:bookmarkStart w:id="19" w:name="_Toc196397408"/>
      <w:bookmarkStart w:id="20" w:name="BookMark2"/>
      <w:r>
        <w:rPr>
          <w:rFonts w:hint="eastAsia"/>
          <w:spacing w:val="320"/>
        </w:rPr>
        <w:t>前</w:t>
      </w:r>
      <w:r>
        <w:rPr>
          <w:rFonts w:hint="eastAsia"/>
        </w:rPr>
        <w:t>言</w:t>
      </w:r>
      <w:bookmarkEnd w:id="19"/>
    </w:p>
    <w:p w14:paraId="1B7236D1">
      <w:pPr>
        <w:pStyle w:val="58"/>
        <w:ind w:firstLine="420"/>
      </w:pPr>
      <w:r>
        <w:rPr>
          <w:rFonts w:hint="eastAsia"/>
        </w:rPr>
        <w:t>本文件按照GB/T 1.1—2020《标准化工作导则  第1部分：标准化文件的结构和起草规则》的规定起草。</w:t>
      </w:r>
    </w:p>
    <w:p w14:paraId="07ADBC5B">
      <w:pPr>
        <w:pStyle w:val="58"/>
        <w:ind w:firstLine="420"/>
      </w:pPr>
    </w:p>
    <w:p w14:paraId="2F1FAD07">
      <w:pPr>
        <w:pStyle w:val="58"/>
        <w:ind w:firstLine="420"/>
      </w:pPr>
    </w:p>
    <w:p w14:paraId="6D3DA155">
      <w:pPr>
        <w:pStyle w:val="58"/>
        <w:ind w:firstLine="420"/>
      </w:pPr>
    </w:p>
    <w:p w14:paraId="70633821">
      <w:pPr>
        <w:pStyle w:val="58"/>
        <w:ind w:firstLine="420"/>
      </w:pPr>
      <w:r>
        <w:rPr>
          <w:rFonts w:hint="eastAsia"/>
        </w:rPr>
        <w:t>本文件由安徽省防水防腐保温行业协会提出。</w:t>
      </w:r>
    </w:p>
    <w:p w14:paraId="296D4CBD">
      <w:pPr>
        <w:pStyle w:val="58"/>
        <w:ind w:firstLine="420"/>
      </w:pPr>
      <w:r>
        <w:rPr>
          <w:rFonts w:hint="eastAsia"/>
        </w:rPr>
        <w:t>本文件由××××归口。</w:t>
      </w:r>
    </w:p>
    <w:p w14:paraId="6125C726">
      <w:pPr>
        <w:pStyle w:val="58"/>
        <w:ind w:firstLine="420"/>
      </w:pPr>
      <w:r>
        <w:rPr>
          <w:rFonts w:hint="eastAsia"/>
        </w:rPr>
        <w:t>本文件起草单位：</w:t>
      </w:r>
    </w:p>
    <w:p w14:paraId="0155EA81">
      <w:pPr>
        <w:pStyle w:val="58"/>
        <w:ind w:firstLine="420"/>
      </w:pPr>
      <w:r>
        <w:rPr>
          <w:rFonts w:hint="eastAsia"/>
        </w:rPr>
        <w:t>本文件主要起草人：</w:t>
      </w:r>
    </w:p>
    <w:p w14:paraId="58120757">
      <w:pPr>
        <w:pStyle w:val="58"/>
        <w:ind w:firstLine="420"/>
      </w:pPr>
    </w:p>
    <w:p w14:paraId="46B08274">
      <w:pPr>
        <w:pStyle w:val="58"/>
        <w:ind w:firstLine="420"/>
        <w:sectPr>
          <w:pgSz w:w="11906" w:h="16838"/>
          <w:pgMar w:top="1928" w:right="1134" w:bottom="1134" w:left="1134" w:header="1418" w:footer="1134" w:gutter="284"/>
          <w:pgNumType w:fmt="upperRoman"/>
          <w:cols w:space="425" w:num="1"/>
          <w:formProt w:val="0"/>
          <w:docGrid w:linePitch="312" w:charSpace="0"/>
        </w:sectPr>
      </w:pPr>
    </w:p>
    <w:bookmarkEnd w:id="20"/>
    <w:p w14:paraId="7C896604">
      <w:pPr>
        <w:spacing w:line="20" w:lineRule="exact"/>
        <w:jc w:val="center"/>
        <w:rPr>
          <w:rFonts w:hint="eastAsia" w:ascii="黑体" w:hAnsi="黑体" w:eastAsia="黑体"/>
          <w:sz w:val="32"/>
          <w:szCs w:val="32"/>
        </w:rPr>
      </w:pPr>
      <w:bookmarkStart w:id="21" w:name="BookMark4"/>
    </w:p>
    <w:p w14:paraId="3E1BAB67">
      <w:pPr>
        <w:spacing w:line="20" w:lineRule="exact"/>
        <w:jc w:val="center"/>
        <w:rPr>
          <w:rFonts w:hint="eastAsia" w:ascii="黑体" w:hAnsi="黑体" w:eastAsia="黑体"/>
          <w:sz w:val="32"/>
          <w:szCs w:val="32"/>
        </w:rPr>
      </w:pPr>
    </w:p>
    <w:sdt>
      <w:sdtPr>
        <w:tag w:val="NEW_STAND_NAME"/>
        <w:id w:val="595910757"/>
        <w:lock w:val="sdtLocked"/>
        <w:placeholder>
          <w:docPart w:val="F8F04633F4BE4B01966387BECABBFAD5"/>
        </w:placeholder>
      </w:sdtPr>
      <w:sdtContent>
        <w:p w14:paraId="468B6350">
          <w:pPr>
            <w:pStyle w:val="179"/>
            <w:spacing w:before="240" w:beforeLines="100" w:after="528" w:afterLines="220"/>
            <w:rPr>
              <w:rFonts w:hint="eastAsia"/>
            </w:rPr>
          </w:pPr>
          <w:bookmarkStart w:id="22" w:name="NEW_STAND_NAME"/>
          <w:r>
            <w:rPr>
              <w:rFonts w:hint="eastAsia"/>
            </w:rPr>
            <w:t>既有建筑屋面外墙渗漏修缮工程规范</w:t>
          </w:r>
        </w:p>
      </w:sdtContent>
    </w:sdt>
    <w:bookmarkEnd w:id="22"/>
    <w:p w14:paraId="6C6DC62E">
      <w:pPr>
        <w:pStyle w:val="106"/>
        <w:spacing w:before="240" w:after="240"/>
      </w:pPr>
      <w:bookmarkStart w:id="23" w:name="_Toc196397409"/>
      <w:bookmarkStart w:id="24" w:name="_Toc26986771"/>
      <w:bookmarkStart w:id="25" w:name="_Toc97192964"/>
      <w:bookmarkStart w:id="26" w:name="_Toc17233333"/>
      <w:bookmarkStart w:id="27" w:name="_Toc24884218"/>
      <w:bookmarkStart w:id="28" w:name="_Toc177044414"/>
      <w:bookmarkStart w:id="29" w:name="_Toc26648465"/>
      <w:bookmarkStart w:id="30" w:name="_Toc24884211"/>
      <w:bookmarkStart w:id="31" w:name="_Toc26718930"/>
      <w:bookmarkStart w:id="32" w:name="_Toc26986530"/>
      <w:bookmarkStart w:id="33" w:name="_Toc17233325"/>
      <w:r>
        <w:rPr>
          <w:rFonts w:hint="eastAsia"/>
        </w:rPr>
        <w:t>范围</w:t>
      </w:r>
      <w:bookmarkEnd w:id="23"/>
      <w:bookmarkEnd w:id="24"/>
      <w:bookmarkEnd w:id="25"/>
      <w:bookmarkEnd w:id="26"/>
      <w:bookmarkEnd w:id="27"/>
      <w:bookmarkEnd w:id="28"/>
      <w:bookmarkEnd w:id="29"/>
      <w:bookmarkEnd w:id="30"/>
      <w:bookmarkEnd w:id="31"/>
      <w:bookmarkEnd w:id="32"/>
      <w:bookmarkEnd w:id="33"/>
    </w:p>
    <w:p w14:paraId="4A58D5E9">
      <w:pPr>
        <w:pStyle w:val="58"/>
        <w:ind w:firstLine="420"/>
      </w:pPr>
      <w:r>
        <w:rPr>
          <w:rFonts w:hint="eastAsia"/>
        </w:rPr>
        <w:t>本文件规定了既有建筑屋面、外墙渗漏修缮工程的查勘、修缮方案制定、施工、验收以及维护与保养的要求。</w:t>
      </w:r>
    </w:p>
    <w:p w14:paraId="4D132795">
      <w:pPr>
        <w:pStyle w:val="58"/>
        <w:ind w:firstLine="420"/>
      </w:pPr>
      <w:r>
        <w:rPr>
          <w:rFonts w:hint="eastAsia"/>
        </w:rPr>
        <w:t>本文件适用于各类既有民用建筑和一般工业建筑的屋面、外墙渗漏修缮工程。</w:t>
      </w:r>
    </w:p>
    <w:p w14:paraId="72E25418">
      <w:pPr>
        <w:pStyle w:val="106"/>
        <w:spacing w:before="240" w:after="240"/>
      </w:pPr>
      <w:bookmarkStart w:id="34" w:name="_Toc26986772"/>
      <w:bookmarkStart w:id="35" w:name="_Toc177044415"/>
      <w:bookmarkStart w:id="36" w:name="_Toc17233326"/>
      <w:bookmarkStart w:id="37" w:name="_Toc26718931"/>
      <w:bookmarkStart w:id="38" w:name="_Toc196397410"/>
      <w:bookmarkStart w:id="39" w:name="_Toc24884212"/>
      <w:bookmarkStart w:id="40" w:name="_Toc24884219"/>
      <w:bookmarkStart w:id="41" w:name="_Toc97192965"/>
      <w:bookmarkStart w:id="42" w:name="_Toc26986531"/>
      <w:bookmarkStart w:id="43" w:name="_Toc17233334"/>
      <w:bookmarkStart w:id="44" w:name="_Toc26648466"/>
      <w:r>
        <w:rPr>
          <w:rFonts w:hint="eastAsia"/>
        </w:rPr>
        <w:t>规范性引用文件</w:t>
      </w:r>
      <w:bookmarkEnd w:id="34"/>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80D7CC02FC6E4F09A63771288B76D2A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FC11C2B">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E629CC6">
      <w:pPr>
        <w:pStyle w:val="58"/>
        <w:ind w:firstLine="420"/>
      </w:pPr>
      <w:r>
        <w:rPr>
          <w:rFonts w:hint="eastAsia"/>
        </w:rPr>
        <w:t xml:space="preserve">GB 50210 建筑装饰装修工程质量验收规范 </w:t>
      </w:r>
    </w:p>
    <w:p w14:paraId="08253B37">
      <w:pPr>
        <w:pStyle w:val="58"/>
        <w:ind w:firstLine="420"/>
      </w:pPr>
      <w:r>
        <w:rPr>
          <w:rFonts w:hint="eastAsia"/>
        </w:rPr>
        <w:t>GB 50300 建筑工程施工质量验收统一标准</w:t>
      </w:r>
    </w:p>
    <w:p w14:paraId="175D53F2">
      <w:pPr>
        <w:pStyle w:val="58"/>
        <w:ind w:firstLine="420"/>
      </w:pPr>
      <w:r>
        <w:rPr>
          <w:rFonts w:hint="eastAsia"/>
        </w:rPr>
        <w:t>GB/T 50328 建设工程文件归档规范</w:t>
      </w:r>
    </w:p>
    <w:p w14:paraId="726A2FC5">
      <w:pPr>
        <w:pStyle w:val="58"/>
        <w:ind w:firstLine="420"/>
      </w:pPr>
      <w:r>
        <w:rPr>
          <w:rFonts w:hint="eastAsia"/>
        </w:rPr>
        <w:t xml:space="preserve">GB 50345 屋面工程技术规范 </w:t>
      </w:r>
    </w:p>
    <w:p w14:paraId="6EB795FE">
      <w:pPr>
        <w:pStyle w:val="58"/>
        <w:ind w:firstLine="420"/>
      </w:pPr>
      <w:r>
        <w:rPr>
          <w:rFonts w:hint="eastAsia"/>
        </w:rPr>
        <w:t>GB/T 50429 建筑防腐蚀工程施工质量验收规范</w:t>
      </w:r>
    </w:p>
    <w:p w14:paraId="1402342D">
      <w:pPr>
        <w:pStyle w:val="58"/>
        <w:ind w:firstLine="420"/>
      </w:pPr>
      <w:r>
        <w:rPr>
          <w:rFonts w:hint="eastAsia"/>
        </w:rPr>
        <w:t>GB 55030  建筑与市政工程防水通用规范</w:t>
      </w:r>
    </w:p>
    <w:p w14:paraId="3398626A">
      <w:pPr>
        <w:pStyle w:val="58"/>
        <w:ind w:firstLine="420"/>
      </w:pPr>
      <w:r>
        <w:rPr>
          <w:rFonts w:hint="eastAsia"/>
        </w:rPr>
        <w:t xml:space="preserve">JGJ/T 53 建筑外墙防水工程技术规程 </w:t>
      </w:r>
    </w:p>
    <w:p w14:paraId="78043B98">
      <w:pPr>
        <w:pStyle w:val="106"/>
        <w:spacing w:before="240" w:after="240"/>
      </w:pPr>
      <w:bookmarkStart w:id="45" w:name="_Toc177044416"/>
      <w:bookmarkStart w:id="46" w:name="_Toc196397411"/>
      <w:bookmarkStart w:id="47" w:name="_Toc97192966"/>
      <w:r>
        <w:rPr>
          <w:rFonts w:hint="eastAsia"/>
          <w:szCs w:val="21"/>
        </w:rPr>
        <w:t>术语和定义</w:t>
      </w:r>
      <w:bookmarkEnd w:id="45"/>
      <w:bookmarkEnd w:id="46"/>
      <w:bookmarkEnd w:id="47"/>
    </w:p>
    <w:sdt>
      <w:sdtPr>
        <w:id w:val="-1909835108"/>
        <w:placeholder>
          <w:docPart w:val="1FA5B4F5B0FA466CB69065C8FEFC53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56F342C">
          <w:pPr>
            <w:pStyle w:val="58"/>
            <w:ind w:firstLine="420"/>
          </w:pPr>
          <w:bookmarkStart w:id="48" w:name="_Toc26986532"/>
          <w:bookmarkEnd w:id="48"/>
          <w:r>
            <w:t>下列术语和定义适用于本文件。</w:t>
          </w:r>
        </w:p>
      </w:sdtContent>
    </w:sdt>
    <w:p w14:paraId="263162DD">
      <w:pPr>
        <w:pStyle w:val="225"/>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既有建筑</w:t>
      </w:r>
    </w:p>
    <w:p w14:paraId="4FAA7AD2">
      <w:pPr>
        <w:pStyle w:val="58"/>
        <w:ind w:firstLine="420"/>
      </w:pPr>
      <w:r>
        <w:rPr>
          <w:rFonts w:hint="eastAsia"/>
        </w:rPr>
        <w:t>已经建成并投入使用的建筑物。</w:t>
      </w:r>
    </w:p>
    <w:p w14:paraId="5A36AF84">
      <w:pPr>
        <w:pStyle w:val="225"/>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渗漏率</w:t>
      </w:r>
    </w:p>
    <w:p w14:paraId="7EF84400">
      <w:pPr>
        <w:pStyle w:val="58"/>
        <w:ind w:firstLine="420"/>
      </w:pPr>
      <w:r>
        <w:rPr>
          <w:rFonts w:hint="eastAsia"/>
        </w:rPr>
        <w:t>在规定的检测条件下，渗漏水量与检测面积或体积的比率，用于量化渗漏程度。</w:t>
      </w:r>
    </w:p>
    <w:p w14:paraId="1555A72B">
      <w:pPr>
        <w:pStyle w:val="225"/>
        <w:rPr>
          <w:rFonts w:hint="eastAsia" w:ascii="黑体" w:hAnsi="黑体" w:eastAsia="黑体"/>
        </w:rPr>
      </w:pPr>
      <w:r>
        <w:rPr>
          <w:rFonts w:ascii="黑体" w:hAnsi="黑体" w:eastAsia="黑体"/>
        </w:rPr>
        <w:br w:type="textWrapping"/>
      </w:r>
      <w:r>
        <w:rPr>
          <w:rFonts w:hint="eastAsia" w:ascii="黑体" w:hAnsi="黑体" w:eastAsia="黑体"/>
        </w:rPr>
        <w:t xml:space="preserve">    隐蔽工程</w:t>
      </w:r>
    </w:p>
    <w:p w14:paraId="11FAD725">
      <w:pPr>
        <w:pStyle w:val="58"/>
        <w:ind w:firstLine="420"/>
      </w:pPr>
      <w:r>
        <w:rPr>
          <w:rFonts w:hint="eastAsia"/>
        </w:rPr>
        <w:t>在修缮施工过程中，被下一道工序所掩盖，无法直接进行质量检查的工程。</w:t>
      </w:r>
    </w:p>
    <w:p w14:paraId="5F1C5498">
      <w:pPr>
        <w:pStyle w:val="181"/>
      </w:pPr>
      <w:r>
        <w:rPr>
          <w:rFonts w:hint="eastAsia"/>
        </w:rPr>
        <w:t>如屋面防水层下的保温层、外墙内的防水增强层等隐蔽于后续工序中的构造层次。</w:t>
      </w:r>
    </w:p>
    <w:p w14:paraId="5CE64739">
      <w:pPr>
        <w:pStyle w:val="106"/>
        <w:spacing w:before="240" w:after="240"/>
      </w:pPr>
      <w:bookmarkStart w:id="49" w:name="_Toc196397412"/>
      <w:r>
        <w:rPr>
          <w:rFonts w:hint="eastAsia"/>
        </w:rPr>
        <w:t>查勘</w:t>
      </w:r>
      <w:bookmarkEnd w:id="49"/>
    </w:p>
    <w:p w14:paraId="09474727">
      <w:pPr>
        <w:pStyle w:val="107"/>
        <w:spacing w:before="120" w:after="120"/>
      </w:pPr>
      <w:r>
        <w:rPr>
          <w:rFonts w:hint="eastAsia"/>
        </w:rPr>
        <w:t>查勘内容</w:t>
      </w:r>
    </w:p>
    <w:p w14:paraId="0E8156CC">
      <w:pPr>
        <w:pStyle w:val="67"/>
        <w:spacing w:before="120" w:after="120"/>
      </w:pPr>
      <w:r>
        <w:rPr>
          <w:rFonts w:hint="eastAsia"/>
        </w:rPr>
        <w:t>渗漏部位定位与范围界定</w:t>
      </w:r>
    </w:p>
    <w:p w14:paraId="12EB895C">
      <w:pPr>
        <w:pStyle w:val="58"/>
        <w:spacing w:before="240" w:after="240"/>
        <w:ind w:firstLine="420"/>
      </w:pPr>
      <w:r>
        <w:rPr>
          <w:rFonts w:hint="eastAsia"/>
        </w:rPr>
        <w:t>使用渗漏检测仪器并结合现场观察，定位屋面、外墙渗漏位置。采用全站仪、激光测距仪测量渗漏区域边界，绘制渗漏位置图，标注建筑结构尺寸、管道走向等信息。</w:t>
      </w:r>
    </w:p>
    <w:p w14:paraId="71013934">
      <w:pPr>
        <w:pStyle w:val="67"/>
        <w:spacing w:before="120" w:after="120"/>
      </w:pPr>
      <w:r>
        <w:rPr>
          <w:rFonts w:hint="eastAsia"/>
        </w:rPr>
        <w:t>渗漏原因分析</w:t>
      </w:r>
    </w:p>
    <w:p w14:paraId="56FC753A">
      <w:pPr>
        <w:pStyle w:val="58"/>
        <w:spacing w:before="240" w:after="240"/>
        <w:ind w:firstLine="420"/>
      </w:pPr>
      <w:r>
        <w:rPr>
          <w:rFonts w:hint="eastAsia"/>
        </w:rPr>
        <w:t>结合建筑设计资料、施工记录、使用年限、环境因素等，分析渗漏原因，包括建筑结构变形、材料化学腐蚀、周边新建工程影响等。</w:t>
      </w:r>
    </w:p>
    <w:p w14:paraId="2E2A1D4B">
      <w:pPr>
        <w:pStyle w:val="67"/>
        <w:spacing w:before="120" w:after="120"/>
      </w:pPr>
      <w:r>
        <w:rPr>
          <w:rFonts w:hint="eastAsia"/>
        </w:rPr>
        <w:t>建筑结构安全评估</w:t>
      </w:r>
    </w:p>
    <w:p w14:paraId="20B29D51">
      <w:pPr>
        <w:pStyle w:val="58"/>
        <w:spacing w:before="240" w:after="240"/>
        <w:ind w:firstLine="420"/>
      </w:pPr>
      <w:r>
        <w:rPr>
          <w:rFonts w:hint="eastAsia"/>
        </w:rPr>
        <w:t>由结构检测单位采用无损检测、结构荷载计算等方法，评估渗漏对建筑结构的损坏，检查墙体、屋面混凝土强度、钢筋锈蚀、砌体抗压强度等指标，判定结构安全性及加固需求。</w:t>
      </w:r>
    </w:p>
    <w:p w14:paraId="7F49E272">
      <w:pPr>
        <w:pStyle w:val="67"/>
        <w:spacing w:before="120" w:after="120"/>
      </w:pPr>
      <w:r>
        <w:rPr>
          <w:rFonts w:hint="eastAsia"/>
        </w:rPr>
        <w:t>周边环境考察</w:t>
      </w:r>
    </w:p>
    <w:p w14:paraId="50812E31">
      <w:pPr>
        <w:pStyle w:val="58"/>
        <w:spacing w:before="240" w:after="240"/>
        <w:ind w:firstLine="420"/>
      </w:pPr>
      <w:r>
        <w:rPr>
          <w:rFonts w:hint="eastAsia"/>
        </w:rPr>
        <w:t>考察建筑物周边地形地貌、排水系统、绿化布局及相邻建筑情况，分析地形积水、排水通畅性、植物根系影响及相邻建筑施工 / 使用对防水性能的影响。</w:t>
      </w:r>
    </w:p>
    <w:p w14:paraId="06D5F488">
      <w:pPr>
        <w:pStyle w:val="67"/>
        <w:spacing w:before="120" w:after="120"/>
      </w:pPr>
      <w:r>
        <w:rPr>
          <w:rFonts w:hint="eastAsia"/>
        </w:rPr>
        <w:t>既有防水保温系统评估</w:t>
      </w:r>
    </w:p>
    <w:p w14:paraId="5912BA01">
      <w:pPr>
        <w:pStyle w:val="58"/>
        <w:spacing w:before="240" w:after="240"/>
        <w:ind w:firstLine="420"/>
      </w:pPr>
      <w:r>
        <w:rPr>
          <w:rFonts w:hint="eastAsia"/>
        </w:rPr>
        <w:t>调查原有防水、保温系统的材料类型、铺设方式、施工工艺、使用年限，通过抽样检测、实验室分析，评估材料性能衰减及与基层粘结强度，判断对渗漏的影响。</w:t>
      </w:r>
    </w:p>
    <w:p w14:paraId="3E76A5D5">
      <w:pPr>
        <w:pStyle w:val="67"/>
        <w:spacing w:before="120" w:after="120"/>
      </w:pPr>
      <w:r>
        <w:rPr>
          <w:rFonts w:hint="eastAsia"/>
        </w:rPr>
        <w:t>渗漏影响评估</w:t>
      </w:r>
    </w:p>
    <w:p w14:paraId="68C4C4AD">
      <w:pPr>
        <w:pStyle w:val="58"/>
        <w:spacing w:before="240" w:after="240"/>
        <w:ind w:firstLine="210" w:firstLineChars="100"/>
      </w:pPr>
      <w:r>
        <w:rPr>
          <w:rFonts w:hint="eastAsia"/>
        </w:rPr>
        <w:t>评估渗漏对室内装修、电气设备、家具的损坏，检测室内空气质量及霉菌等有害物质，判断对人体健康的影响。</w:t>
      </w:r>
    </w:p>
    <w:p w14:paraId="5FBA1B0E">
      <w:pPr>
        <w:pStyle w:val="107"/>
        <w:spacing w:before="120" w:after="120"/>
      </w:pPr>
      <w:r>
        <w:rPr>
          <w:rFonts w:hint="eastAsia"/>
        </w:rPr>
        <w:t>查勘方法</w:t>
      </w:r>
    </w:p>
    <w:p w14:paraId="01ACCBBF">
      <w:pPr>
        <w:pStyle w:val="67"/>
        <w:spacing w:before="120" w:after="120"/>
      </w:pPr>
      <w:r>
        <w:rPr>
          <w:rFonts w:hint="eastAsia"/>
        </w:rPr>
        <w:t>多方法查勘</w:t>
      </w:r>
    </w:p>
    <w:p w14:paraId="5D1101D4">
      <w:pPr>
        <w:pStyle w:val="58"/>
        <w:spacing w:before="240" w:after="240"/>
        <w:ind w:firstLine="199" w:firstLineChars="95"/>
      </w:pPr>
      <w:r>
        <w:rPr>
          <w:rFonts w:hint="eastAsia"/>
        </w:rPr>
        <w:t>采用目测、仪器检测、取样分析、资料查阅、走访调查等方法查勘。</w:t>
      </w:r>
    </w:p>
    <w:p w14:paraId="707FF8A2">
      <w:pPr>
        <w:pStyle w:val="67"/>
        <w:spacing w:before="120" w:after="120"/>
      </w:pPr>
      <w:r>
        <w:rPr>
          <w:rFonts w:hint="eastAsia"/>
        </w:rPr>
        <w:t>仪器检测</w:t>
      </w:r>
    </w:p>
    <w:p w14:paraId="78724ECB">
      <w:pPr>
        <w:pStyle w:val="58"/>
        <w:spacing w:before="240" w:after="240"/>
        <w:ind w:firstLine="420"/>
      </w:pPr>
      <w:r>
        <w:rPr>
          <w:rFonts w:hint="eastAsia"/>
        </w:rPr>
        <w:t>使用电子渗漏检测仪、红外热成像仪、超声波检测仪等，检测屋面、外墙渗漏点、内部隐患及结构缺陷。</w:t>
      </w:r>
    </w:p>
    <w:p w14:paraId="5445A9F8">
      <w:pPr>
        <w:pStyle w:val="67"/>
        <w:spacing w:before="120" w:after="120"/>
      </w:pPr>
      <w:r>
        <w:rPr>
          <w:rFonts w:hint="eastAsia"/>
        </w:rPr>
        <w:t>取样分析</w:t>
      </w:r>
    </w:p>
    <w:p w14:paraId="0F968269">
      <w:pPr>
        <w:pStyle w:val="58"/>
        <w:spacing w:before="240" w:after="240"/>
        <w:ind w:firstLine="420"/>
      </w:pPr>
      <w:r>
        <w:rPr>
          <w:rFonts w:hint="eastAsia"/>
        </w:rPr>
        <w:t>取样防水、保温材料及建筑结构构件，送实验室检测物理性能、化学成分、力学性能等，为修缮方案提供依据。</w:t>
      </w:r>
    </w:p>
    <w:p w14:paraId="1C15BE87">
      <w:pPr>
        <w:pStyle w:val="67"/>
        <w:spacing w:before="120" w:after="120"/>
      </w:pPr>
      <w:r>
        <w:rPr>
          <w:rFonts w:hint="eastAsia"/>
        </w:rPr>
        <w:t>资料查阅</w:t>
      </w:r>
    </w:p>
    <w:p w14:paraId="093B065B">
      <w:pPr>
        <w:pStyle w:val="58"/>
        <w:spacing w:before="240" w:after="240"/>
        <w:ind w:firstLine="409" w:firstLineChars="195"/>
      </w:pPr>
      <w:r>
        <w:rPr>
          <w:rFonts w:hint="eastAsia"/>
        </w:rPr>
        <w:t>查阅设计图纸、施工记录、竣工验收资料、维修档案，了解建筑原始设计、施工及维修历史。</w:t>
      </w:r>
    </w:p>
    <w:p w14:paraId="386F8536">
      <w:pPr>
        <w:pStyle w:val="67"/>
        <w:spacing w:before="120" w:after="120"/>
      </w:pPr>
      <w:r>
        <w:rPr>
          <w:rFonts w:hint="eastAsia"/>
        </w:rPr>
        <w:t>走访调查</w:t>
      </w:r>
    </w:p>
    <w:p w14:paraId="29562C47">
      <w:pPr>
        <w:pStyle w:val="58"/>
        <w:ind w:firstLine="420"/>
      </w:pPr>
      <w:r>
        <w:rPr>
          <w:rFonts w:hint="eastAsia"/>
        </w:rPr>
        <w:t>走访使用单位、管理人员、住户，了解渗漏发生时间、频率、季节规律及使用异常情况</w:t>
      </w:r>
    </w:p>
    <w:p w14:paraId="69ED7A74">
      <w:pPr>
        <w:pStyle w:val="106"/>
        <w:spacing w:before="240" w:after="240"/>
      </w:pPr>
      <w:bookmarkStart w:id="50" w:name="_Toc196397413"/>
      <w:r>
        <w:rPr>
          <w:rFonts w:hint="eastAsia"/>
        </w:rPr>
        <w:t>修缮方案</w:t>
      </w:r>
      <w:bookmarkEnd w:id="50"/>
    </w:p>
    <w:p w14:paraId="567FAC1A">
      <w:pPr>
        <w:pStyle w:val="107"/>
        <w:spacing w:before="120" w:after="120"/>
      </w:pPr>
      <w:r>
        <w:rPr>
          <w:rFonts w:hint="eastAsia"/>
        </w:rPr>
        <w:t>修缮目标与范围</w:t>
      </w:r>
    </w:p>
    <w:p w14:paraId="7AFA33DD">
      <w:pPr>
        <w:pStyle w:val="58"/>
        <w:spacing w:before="240" w:after="240"/>
        <w:ind w:firstLine="420"/>
      </w:pPr>
      <w:r>
        <w:rPr>
          <w:rFonts w:hint="eastAsia"/>
        </w:rPr>
        <w:t>依据查勘结果，明确修缮目标（消除渗漏、恢复防水功能、延长建筑寿命等）及范围（屋面、外墙具体楼层、区域，相邻结构或室内装修处理）。</w:t>
      </w:r>
    </w:p>
    <w:p w14:paraId="6BA49DFE">
      <w:pPr>
        <w:pStyle w:val="107"/>
        <w:spacing w:before="120" w:after="120"/>
      </w:pPr>
      <w:r>
        <w:rPr>
          <w:rFonts w:hint="eastAsia"/>
        </w:rPr>
        <w:t>修缮材料与工艺选择</w:t>
      </w:r>
    </w:p>
    <w:p w14:paraId="254E0B17">
      <w:pPr>
        <w:pStyle w:val="58"/>
        <w:spacing w:before="240" w:after="240"/>
        <w:ind w:firstLine="210" w:firstLineChars="100"/>
      </w:pPr>
      <w:r>
        <w:rPr>
          <w:rFonts w:hint="eastAsia"/>
        </w:rPr>
        <w:t>根据渗漏原因、建筑结构、环境条件及经济性，选择修缮材料与工艺，优先采用环保、节能、耐久性好的新型材料，明确施工流程、技术参数及操作要点。</w:t>
      </w:r>
    </w:p>
    <w:p w14:paraId="3E0C47E6">
      <w:pPr>
        <w:pStyle w:val="107"/>
        <w:spacing w:before="120" w:after="120"/>
      </w:pPr>
      <w:r>
        <w:rPr>
          <w:rFonts w:hint="eastAsia"/>
        </w:rPr>
        <w:t>施工步骤与工艺要求</w:t>
      </w:r>
    </w:p>
    <w:p w14:paraId="782F1486">
      <w:pPr>
        <w:pStyle w:val="58"/>
        <w:spacing w:before="240" w:after="240"/>
        <w:ind w:firstLine="210" w:firstLineChars="100"/>
      </w:pPr>
      <w:r>
        <w:rPr>
          <w:rFonts w:hint="eastAsia"/>
        </w:rPr>
        <w:t>制定施工步骤，绘制施工工艺流程图，编号说明施工环节，明确工序顺序、施工方法、质量控制要点及检验标准。</w:t>
      </w:r>
    </w:p>
    <w:p w14:paraId="41334DF1">
      <w:pPr>
        <w:pStyle w:val="107"/>
        <w:spacing w:before="120" w:after="120"/>
      </w:pPr>
      <w:r>
        <w:rPr>
          <w:rFonts w:hint="eastAsia"/>
        </w:rPr>
        <w:t>安全与环保措施</w:t>
      </w:r>
    </w:p>
    <w:p w14:paraId="6841FABA">
      <w:pPr>
        <w:pStyle w:val="58"/>
        <w:spacing w:before="240" w:after="240"/>
        <w:ind w:firstLine="210" w:firstLineChars="100"/>
      </w:pPr>
      <w:r>
        <w:rPr>
          <w:rFonts w:hint="eastAsia"/>
        </w:rPr>
        <w:t>制定安全保障措施（安全教育、防护用品、安全标识、操作规程）及环境保护措施（减少噪音、粉尘、污水、废弃物污染）。</w:t>
      </w:r>
    </w:p>
    <w:p w14:paraId="463CAC27">
      <w:pPr>
        <w:pStyle w:val="107"/>
        <w:spacing w:before="120" w:after="120"/>
      </w:pPr>
      <w:r>
        <w:rPr>
          <w:rFonts w:hint="eastAsia"/>
        </w:rPr>
        <w:t>施工进度与资源配置</w:t>
      </w:r>
    </w:p>
    <w:p w14:paraId="20A5344E">
      <w:pPr>
        <w:pStyle w:val="58"/>
        <w:spacing w:before="240" w:after="240"/>
        <w:ind w:firstLine="420"/>
      </w:pPr>
      <w:r>
        <w:rPr>
          <w:rFonts w:hint="eastAsia"/>
        </w:rPr>
        <w:t>根据工程规模、难度及现场条件，制定施工进度计划，明确各阶段时间节点，配置施工人员、材料、设备。</w:t>
      </w:r>
    </w:p>
    <w:p w14:paraId="7CD44988">
      <w:pPr>
        <w:pStyle w:val="107"/>
        <w:spacing w:before="120" w:after="120"/>
      </w:pPr>
      <w:r>
        <w:rPr>
          <w:rFonts w:hint="eastAsia"/>
        </w:rPr>
        <w:t>质量保障与监督机制</w:t>
      </w:r>
    </w:p>
    <w:p w14:paraId="7715E542">
      <w:pPr>
        <w:pStyle w:val="58"/>
        <w:spacing w:before="240" w:after="240"/>
        <w:ind w:firstLine="420"/>
      </w:pPr>
      <w:r>
        <w:rPr>
          <w:rFonts w:hint="eastAsia"/>
        </w:rPr>
        <w:t>建立质量保障体系，明确施工、监理、建设单位责任，制定质量检验计划（项目、频率、方法、标准），加强施工监督，关键工序和重要部位实行旁站监理。</w:t>
      </w:r>
    </w:p>
    <w:p w14:paraId="1E0902C0">
      <w:pPr>
        <w:pStyle w:val="106"/>
        <w:spacing w:before="240" w:after="240"/>
      </w:pPr>
      <w:bookmarkStart w:id="51" w:name="_Toc196397414"/>
      <w:r>
        <w:rPr>
          <w:rFonts w:hint="eastAsia"/>
        </w:rPr>
        <w:t>施工</w:t>
      </w:r>
      <w:bookmarkEnd w:id="51"/>
    </w:p>
    <w:p w14:paraId="5ABB3745">
      <w:pPr>
        <w:pStyle w:val="107"/>
        <w:spacing w:before="120" w:after="120"/>
      </w:pPr>
      <w:r>
        <w:rPr>
          <w:rFonts w:hint="eastAsia"/>
        </w:rPr>
        <w:t>施工准备</w:t>
      </w:r>
    </w:p>
    <w:p w14:paraId="5B4442C2">
      <w:pPr>
        <w:pStyle w:val="67"/>
        <w:spacing w:before="120" w:after="120"/>
      </w:pPr>
      <w:r>
        <w:rPr>
          <w:rFonts w:hint="eastAsia"/>
        </w:rPr>
        <w:t>材料与设备要求</w:t>
      </w:r>
    </w:p>
    <w:p w14:paraId="64C1ED82">
      <w:pPr>
        <w:pStyle w:val="58"/>
        <w:ind w:firstLine="420"/>
      </w:pPr>
      <w:r>
        <w:rPr>
          <w:rFonts w:hint="eastAsia"/>
        </w:rPr>
        <w:t>施工材料应具备质量证明文件、产品合格证及检测报告。进场材料需检验品种、规格、型号、数量及外观质量，符合设计要求。防水卷材、防水涂料、密封胶等需复试的材料，应按规定见证取样送检，合格后方可使用。</w:t>
      </w:r>
    </w:p>
    <w:p w14:paraId="7EC176AE">
      <w:pPr>
        <w:pStyle w:val="67"/>
        <w:spacing w:before="120" w:after="120"/>
      </w:pPr>
      <w:r>
        <w:rPr>
          <w:rFonts w:hint="eastAsia"/>
        </w:rPr>
        <w:t>人员要求</w:t>
      </w:r>
    </w:p>
    <w:p w14:paraId="5EF2E4F9">
      <w:pPr>
        <w:pStyle w:val="58"/>
        <w:ind w:firstLine="199" w:firstLineChars="95"/>
      </w:pPr>
      <w:r>
        <w:rPr>
          <w:rFonts w:hint="eastAsia"/>
        </w:rPr>
        <w:t>施工人员应持证上岗。</w:t>
      </w:r>
    </w:p>
    <w:p w14:paraId="274716B9">
      <w:pPr>
        <w:pStyle w:val="67"/>
        <w:spacing w:before="120" w:after="120"/>
      </w:pPr>
      <w:r>
        <w:rPr>
          <w:rFonts w:hint="eastAsia"/>
        </w:rPr>
        <w:t>场地要求</w:t>
      </w:r>
    </w:p>
    <w:p w14:paraId="6D3F911E">
      <w:pPr>
        <w:pStyle w:val="58"/>
        <w:ind w:firstLine="420"/>
      </w:pPr>
      <w:r>
        <w:rPr>
          <w:rFonts w:hint="eastAsia"/>
        </w:rPr>
        <w:t>施工现场应划分材料堆放区、设备停放区、施工操作区、办公区及生活区，设置安全警示标识。围挡坚固美观，高度符合规定。搭建临时水电线路、仓库、加工棚等设施，满足施工条件。</w:t>
      </w:r>
    </w:p>
    <w:p w14:paraId="3AAF2AE7">
      <w:pPr>
        <w:pStyle w:val="67"/>
        <w:spacing w:before="120" w:after="120"/>
      </w:pPr>
      <w:r>
        <w:rPr>
          <w:rFonts w:hint="eastAsia"/>
        </w:rPr>
        <w:t>施工协调</w:t>
      </w:r>
    </w:p>
    <w:p w14:paraId="6D0DB542">
      <w:pPr>
        <w:pStyle w:val="58"/>
        <w:spacing w:before="120" w:after="120"/>
        <w:ind w:firstLine="420"/>
      </w:pPr>
      <w:r>
        <w:rPr>
          <w:rFonts w:hint="eastAsia"/>
        </w:rPr>
        <w:t>施工前，施工单位应与建设、监理、设计、物业管理单位及周边居民沟通协调，提交施工组织设计和开工报告，经批准后开工。协调物资运输、垃圾清运等事宜，向居民发布施工通知，告知施工时间、内容、影响及防护措施。</w:t>
      </w:r>
    </w:p>
    <w:p w14:paraId="41EFA0E8">
      <w:pPr>
        <w:pStyle w:val="107"/>
        <w:spacing w:before="120" w:after="120"/>
      </w:pPr>
      <w:r>
        <w:rPr>
          <w:rFonts w:hint="eastAsia"/>
        </w:rPr>
        <w:t>施工过程控制</w:t>
      </w:r>
    </w:p>
    <w:p w14:paraId="20FCCEE8">
      <w:pPr>
        <w:pStyle w:val="67"/>
        <w:spacing w:before="120" w:after="120"/>
      </w:pPr>
      <w:r>
        <w:rPr>
          <w:rFonts w:hint="eastAsia"/>
        </w:rPr>
        <w:t>施工执行</w:t>
      </w:r>
    </w:p>
    <w:p w14:paraId="1D9A5FF8">
      <w:pPr>
        <w:pStyle w:val="58"/>
        <w:ind w:firstLine="420"/>
      </w:pPr>
      <w:r>
        <w:rPr>
          <w:rFonts w:hint="eastAsia"/>
        </w:rPr>
        <w:t>按审批方案施工，不得擅自更改工艺和顺序，施工人员应熟悉方案及操作规程。</w:t>
      </w:r>
    </w:p>
    <w:p w14:paraId="46605DB9">
      <w:pPr>
        <w:pStyle w:val="67"/>
        <w:spacing w:before="120" w:after="120"/>
      </w:pPr>
      <w:r>
        <w:rPr>
          <w:rFonts w:hint="eastAsia"/>
        </w:rPr>
        <w:t>质量检验</w:t>
      </w:r>
    </w:p>
    <w:p w14:paraId="79F8579F">
      <w:pPr>
        <w:pStyle w:val="176"/>
      </w:pPr>
      <w:r>
        <w:rPr>
          <w:rFonts w:hint="eastAsia"/>
        </w:rPr>
        <w:t>建立自检、互检、专检制度，工序完成后依次进行检验；</w:t>
      </w:r>
    </w:p>
    <w:p w14:paraId="474671A9">
      <w:pPr>
        <w:pStyle w:val="176"/>
      </w:pPr>
      <w:r>
        <w:rPr>
          <w:rFonts w:hint="eastAsia"/>
        </w:rPr>
        <w:t>关键工序（防水层施工、节点处理、密封胶嵌缝等）应旁站监理，确保质量符合要求。</w:t>
      </w:r>
    </w:p>
    <w:p w14:paraId="748346D2">
      <w:pPr>
        <w:pStyle w:val="67"/>
        <w:spacing w:before="120" w:after="120"/>
      </w:pPr>
      <w:r>
        <w:rPr>
          <w:rFonts w:hint="eastAsia"/>
        </w:rPr>
        <w:t>施工记录</w:t>
      </w:r>
    </w:p>
    <w:p w14:paraId="6B40CBBD">
      <w:pPr>
        <w:pStyle w:val="58"/>
        <w:ind w:firstLine="420"/>
      </w:pPr>
      <w:r>
        <w:rPr>
          <w:rFonts w:hint="eastAsia"/>
        </w:rPr>
        <w:t>记录施工日期、部位、人员、材料、质量检查等信息，真实准确，及时归档。收集材料检验报告、隐蔽工程验收记录等，建立工程档案。</w:t>
      </w:r>
    </w:p>
    <w:p w14:paraId="2FD50FC4">
      <w:pPr>
        <w:pStyle w:val="67"/>
        <w:spacing w:before="120" w:after="120"/>
      </w:pPr>
      <w:r>
        <w:rPr>
          <w:rFonts w:hint="eastAsia"/>
        </w:rPr>
        <w:t>安全环保</w:t>
      </w:r>
    </w:p>
    <w:p w14:paraId="1BCAA0A8">
      <w:pPr>
        <w:pStyle w:val="176"/>
        <w:numPr>
          <w:ilvl w:val="0"/>
          <w:numId w:val="32"/>
        </w:numPr>
      </w:pPr>
      <w:r>
        <w:rPr>
          <w:rFonts w:hint="eastAsia"/>
        </w:rPr>
        <w:t>遵守安全规程，定期安全检查，消除隐患；</w:t>
      </w:r>
    </w:p>
    <w:p w14:paraId="47820753">
      <w:pPr>
        <w:pStyle w:val="176"/>
      </w:pPr>
      <w:r>
        <w:rPr>
          <w:rFonts w:hint="eastAsia"/>
        </w:rPr>
        <w:t>处理施工噪音、粉尘、污水、废弃物，设置垃圾收集容器，工完场清。</w:t>
      </w:r>
    </w:p>
    <w:p w14:paraId="625FE121">
      <w:pPr>
        <w:pStyle w:val="106"/>
        <w:spacing w:before="240" w:after="240"/>
      </w:pPr>
      <w:bookmarkStart w:id="52" w:name="_Toc196397415"/>
      <w:r>
        <w:rPr>
          <w:rFonts w:hint="eastAsia"/>
        </w:rPr>
        <w:t>验收</w:t>
      </w:r>
      <w:bookmarkEnd w:id="52"/>
    </w:p>
    <w:p w14:paraId="134C90FF">
      <w:pPr>
        <w:pStyle w:val="107"/>
        <w:spacing w:before="120" w:after="120"/>
      </w:pPr>
      <w:r>
        <w:rPr>
          <w:rFonts w:hint="eastAsia"/>
        </w:rPr>
        <w:t>验收标准</w:t>
      </w:r>
    </w:p>
    <w:p w14:paraId="7B635096">
      <w:pPr>
        <w:pStyle w:val="58"/>
        <w:ind w:firstLine="420"/>
      </w:pPr>
      <w:r>
        <w:rPr>
          <w:rFonts w:hint="eastAsia"/>
        </w:rPr>
        <w:t>验收应按照GB 50300《建筑工程施工质量验收统一标准》和GB 50210《建筑装饰装修工程质量验收规范》的相关规定进行。</w:t>
      </w:r>
    </w:p>
    <w:p w14:paraId="2C179569">
      <w:pPr>
        <w:pStyle w:val="107"/>
        <w:spacing w:before="120" w:after="120"/>
        <w:rPr>
          <w:color w:val="FF0000"/>
        </w:rPr>
      </w:pPr>
      <w:r>
        <w:rPr>
          <w:rFonts w:hint="eastAsia"/>
          <w:color w:val="FF0000"/>
        </w:rPr>
        <w:t>验收内容</w:t>
      </w:r>
    </w:p>
    <w:p w14:paraId="1FCBADFF">
      <w:pPr>
        <w:pStyle w:val="58"/>
        <w:ind w:firstLine="420"/>
      </w:pPr>
      <w:r>
        <w:rPr>
          <w:rFonts w:hint="eastAsia"/>
        </w:rPr>
        <w:t>验收应包括但不限于以下内容：</w:t>
      </w:r>
    </w:p>
    <w:p w14:paraId="63DEC2BC">
      <w:pPr>
        <w:pStyle w:val="58"/>
        <w:ind w:firstLine="420"/>
      </w:pPr>
      <w:r>
        <w:rPr>
          <w:rFonts w:hint="eastAsia"/>
        </w:rPr>
        <w:t>- 修缮工程的外观质量；</w:t>
      </w:r>
    </w:p>
    <w:p w14:paraId="73E1A1DA">
      <w:pPr>
        <w:pStyle w:val="58"/>
        <w:ind w:firstLine="420"/>
      </w:pPr>
      <w:r>
        <w:rPr>
          <w:rFonts w:hint="eastAsia"/>
        </w:rPr>
        <w:t>- 渗漏问题的解决情况；</w:t>
      </w:r>
    </w:p>
    <w:p w14:paraId="320B1631">
      <w:pPr>
        <w:pStyle w:val="58"/>
        <w:ind w:firstLine="420"/>
        <w:rPr>
          <w:rFonts w:hint="eastAsia"/>
        </w:rPr>
      </w:pPr>
      <w:r>
        <w:rPr>
          <w:rFonts w:hint="eastAsia"/>
        </w:rPr>
        <w:t>- 施工记录的完整性和准确性。</w:t>
      </w:r>
    </w:p>
    <w:p w14:paraId="6C1CDC80">
      <w:pPr>
        <w:pStyle w:val="58"/>
        <w:ind w:firstLine="420"/>
        <w:rPr>
          <w:rFonts w:hint="eastAsia"/>
          <w:color w:val="FF0000"/>
          <w:lang w:val="en-US" w:eastAsia="zh-CN"/>
        </w:rPr>
      </w:pPr>
      <w:r>
        <w:rPr>
          <w:rFonts w:hint="eastAsia"/>
          <w:color w:val="FF0000"/>
          <w:lang w:val="en-US" w:eastAsia="zh-CN"/>
        </w:rPr>
        <w:t>-48h喷淋实验（建议增加此项）</w:t>
      </w:r>
    </w:p>
    <w:p w14:paraId="05AD06C5">
      <w:pPr>
        <w:pStyle w:val="58"/>
        <w:ind w:firstLine="420"/>
        <w:rPr>
          <w:rFonts w:hint="eastAsia"/>
          <w:color w:val="FF0000"/>
          <w:lang w:val="en-US" w:eastAsia="zh-CN"/>
        </w:rPr>
      </w:pPr>
      <w:r>
        <w:rPr>
          <w:rFonts w:hint="eastAsia"/>
          <w:color w:val="FF0000"/>
          <w:lang w:val="en-US" w:eastAsia="zh-CN"/>
        </w:rPr>
        <w:object>
          <v:shape id="_x0000_i1025" o:spt="75" type="#_x0000_t75" style="height:66pt;width:72.75pt;" o:ole="t" filled="f" o:preferrelative="t" stroked="f" coordsize="21600,21600">
            <v:path/>
            <v:fill on="f" focussize="0,0"/>
            <v:stroke on="f"/>
            <v:imagedata r:id="rId16" o:title=""/>
            <o:lock v:ext="edit" aspectratio="t"/>
            <w10:wrap type="none"/>
            <w10:anchorlock/>
          </v:shape>
          <o:OLEObject Type="Embed" ProgID="Word.Document.8" ShapeID="_x0000_i1025" DrawAspect="Icon" ObjectID="_1468075725" r:id="rId15">
            <o:LockedField>false</o:LockedField>
          </o:OLEObject>
        </w:object>
      </w:r>
    </w:p>
    <w:p w14:paraId="20BF5B0E">
      <w:pPr>
        <w:pStyle w:val="58"/>
        <w:ind w:firstLine="420"/>
        <w:rPr>
          <w:rFonts w:hint="default"/>
          <w:color w:val="FF0000"/>
          <w:lang w:val="en-US" w:eastAsia="zh-CN"/>
        </w:rPr>
      </w:pPr>
    </w:p>
    <w:p w14:paraId="6E5F2226">
      <w:pPr>
        <w:pStyle w:val="107"/>
        <w:spacing w:before="120" w:after="120"/>
      </w:pPr>
      <w:r>
        <w:rPr>
          <w:rFonts w:hint="eastAsia"/>
        </w:rPr>
        <w:t>验收程序</w:t>
      </w:r>
    </w:p>
    <w:p w14:paraId="52AE0F87">
      <w:pPr>
        <w:pStyle w:val="58"/>
        <w:ind w:firstLine="420"/>
      </w:pPr>
      <w:r>
        <w:rPr>
          <w:rFonts w:hint="eastAsia"/>
        </w:rPr>
        <w:t>验收应按照以下程序进行：</w:t>
      </w:r>
    </w:p>
    <w:p w14:paraId="7A969477">
      <w:pPr>
        <w:pStyle w:val="58"/>
        <w:ind w:firstLine="420"/>
      </w:pPr>
      <w:r>
        <w:rPr>
          <w:rFonts w:hint="eastAsia"/>
        </w:rPr>
        <w:t>- 施工单位自检；</w:t>
      </w:r>
    </w:p>
    <w:p w14:paraId="7DCAA50B">
      <w:pPr>
        <w:pStyle w:val="58"/>
        <w:ind w:firstLine="420"/>
      </w:pPr>
      <w:r>
        <w:rPr>
          <w:rFonts w:hint="eastAsia"/>
        </w:rPr>
        <w:t>- 监理单位验收；</w:t>
      </w:r>
    </w:p>
    <w:p w14:paraId="622A9519">
      <w:pPr>
        <w:pStyle w:val="58"/>
        <w:ind w:firstLine="420"/>
      </w:pPr>
      <w:r>
        <w:rPr>
          <w:rFonts w:hint="eastAsia"/>
        </w:rPr>
        <w:t>- 建设单位组织竣工验收。</w:t>
      </w:r>
    </w:p>
    <w:p w14:paraId="16A6D4E6">
      <w:pPr>
        <w:pStyle w:val="106"/>
        <w:spacing w:before="240" w:after="240"/>
      </w:pPr>
      <w:bookmarkStart w:id="53" w:name="_Toc196397416"/>
      <w:r>
        <w:rPr>
          <w:rFonts w:hint="eastAsia"/>
        </w:rPr>
        <w:t>维护与保养</w:t>
      </w:r>
      <w:bookmarkEnd w:id="53"/>
    </w:p>
    <w:p w14:paraId="194235DA">
      <w:pPr>
        <w:pStyle w:val="107"/>
        <w:spacing w:before="120" w:after="120"/>
      </w:pPr>
      <w:r>
        <w:rPr>
          <w:rFonts w:hint="eastAsia"/>
        </w:rPr>
        <w:t>维护</w:t>
      </w:r>
    </w:p>
    <w:p w14:paraId="1C18ABD0">
      <w:pPr>
        <w:pStyle w:val="167"/>
      </w:pPr>
      <w:r>
        <w:rPr>
          <w:rFonts w:hint="eastAsia"/>
        </w:rPr>
        <w:t>建立定期检查制度，使用单位应每 6 个月对屋面、外墙进行全面检查，内容包括外观质量、渗漏情况、防水密封材料老化状况等。</w:t>
      </w:r>
    </w:p>
    <w:p w14:paraId="79840634">
      <w:pPr>
        <w:pStyle w:val="167"/>
      </w:pPr>
      <w:r>
        <w:rPr>
          <w:rFonts w:hint="eastAsia"/>
        </w:rPr>
        <w:t>安排专人日常巡查，重点检查屋面排水口畅通性、外墙裂缝及渗漏痕迹，发现问题及时记录并处理。</w:t>
      </w:r>
    </w:p>
    <w:p w14:paraId="58EEE935">
      <w:pPr>
        <w:pStyle w:val="167"/>
      </w:pPr>
      <w:r>
        <w:rPr>
          <w:rFonts w:hint="eastAsia"/>
        </w:rPr>
        <w:t>及时修补检查中发现的轻微损坏，防止问题扩大。</w:t>
      </w:r>
    </w:p>
    <w:p w14:paraId="60757AE2">
      <w:pPr>
        <w:pStyle w:val="107"/>
        <w:spacing w:before="120" w:after="120"/>
      </w:pPr>
      <w:r>
        <w:rPr>
          <w:rFonts w:hint="eastAsia"/>
        </w:rPr>
        <w:t>保养</w:t>
      </w:r>
    </w:p>
    <w:p w14:paraId="15F807C5">
      <w:pPr>
        <w:pStyle w:val="167"/>
      </w:pPr>
      <w:r>
        <w:rPr>
          <w:rFonts w:hint="eastAsia"/>
        </w:rPr>
        <w:t>根据防水、保温材料特性定期维护保养，修复或更换异常材料。</w:t>
      </w:r>
    </w:p>
    <w:p w14:paraId="674ED7F9">
      <w:pPr>
        <w:pStyle w:val="167"/>
      </w:pPr>
      <w:r>
        <w:rPr>
          <w:rFonts w:hint="eastAsia"/>
        </w:rPr>
        <w:t>定期清理屋面、外墙排水系统，确保排水畅通。</w:t>
      </w:r>
    </w:p>
    <w:p w14:paraId="56C04944">
      <w:pPr>
        <w:pStyle w:val="167"/>
      </w:pPr>
      <w:r>
        <w:rPr>
          <w:rFonts w:hint="eastAsia"/>
        </w:rPr>
        <w:t>保持建筑物周边环境整洁，修剪绿化植物防止根系破坏建筑。</w:t>
      </w:r>
    </w:p>
    <w:bookmarkEnd w:id="21"/>
    <w:p w14:paraId="29C79F6E">
      <w:pPr>
        <w:pStyle w:val="58"/>
        <w:ind w:firstLine="0" w:firstLineChars="0"/>
        <w:jc w:val="center"/>
      </w:pPr>
      <w:bookmarkStart w:id="54" w:name="BookMark8"/>
      <w:r>
        <w:rPr>
          <w:rFonts w:hint="eastAsia"/>
        </w:rPr>
        <w:drawing>
          <wp:inline distT="0" distB="0" distL="0" distR="0">
            <wp:extent cx="1485900" cy="317500"/>
            <wp:effectExtent l="0" t="0" r="0" b="6350"/>
            <wp:docPr id="453363863" name="图片 1"/>
            <wp:cNvGraphicFramePr/>
            <a:graphic xmlns:a="http://schemas.openxmlformats.org/drawingml/2006/main">
              <a:graphicData uri="http://schemas.openxmlformats.org/drawingml/2006/picture">
                <pic:pic xmlns:pic="http://schemas.openxmlformats.org/drawingml/2006/picture">
                  <pic:nvPicPr>
                    <pic:cNvPr id="453363863"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689DB">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16428">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AABAC">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52AF">
    <w:pPr>
      <w:pStyle w:val="54"/>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7F7A1">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0D34">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BC052">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1FFD3">
    <w:pPr>
      <w:pStyle w:val="63"/>
      <w:rPr>
        <w:rFonts w:hint="eastAsia"/>
      </w:rPr>
    </w:pPr>
    <w:r>
      <w:fldChar w:fldCharType="begin"/>
    </w:r>
    <w:r>
      <w:instrText xml:space="preserve"> STYLEREF  标准文件_文件编号  \* MERGEFORMAT </w:instrText>
    </w:r>
    <w:r>
      <w:fldChar w:fldCharType="separate"/>
    </w:r>
    <w:r>
      <w:t>T/AQB 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7004C">
    <w:pPr>
      <w:pStyle w:val="19"/>
      <w:jc w:val="right"/>
    </w:pPr>
    <w:r>
      <w:fldChar w:fldCharType="begin"/>
    </w:r>
    <w:r>
      <w:instrText xml:space="preserve"> STYLEREF  标准文件_文件编号  \* MERGEFORMAT </w:instrText>
    </w:r>
    <w:r>
      <w:fldChar w:fldCharType="separate"/>
    </w:r>
    <w:r>
      <w:t>T/AQB 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142"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426"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B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095"/>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555"/>
    <w:rsid w:val="000B060F"/>
    <w:rsid w:val="000B1592"/>
    <w:rsid w:val="000B1FF2"/>
    <w:rsid w:val="000B3CDA"/>
    <w:rsid w:val="000B6A0B"/>
    <w:rsid w:val="000C0F6C"/>
    <w:rsid w:val="000C11DB"/>
    <w:rsid w:val="000C1492"/>
    <w:rsid w:val="000C2FBD"/>
    <w:rsid w:val="000C4AC1"/>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2156"/>
    <w:rsid w:val="00104926"/>
    <w:rsid w:val="00113B1E"/>
    <w:rsid w:val="0011711C"/>
    <w:rsid w:val="0011748A"/>
    <w:rsid w:val="00124E4F"/>
    <w:rsid w:val="001260B7"/>
    <w:rsid w:val="001265CB"/>
    <w:rsid w:val="001321C6"/>
    <w:rsid w:val="001325C4"/>
    <w:rsid w:val="00133010"/>
    <w:rsid w:val="001338EE"/>
    <w:rsid w:val="00133AAE"/>
    <w:rsid w:val="00135323"/>
    <w:rsid w:val="001356C4"/>
    <w:rsid w:val="00137565"/>
    <w:rsid w:val="00141114"/>
    <w:rsid w:val="00142475"/>
    <w:rsid w:val="00142969"/>
    <w:rsid w:val="001446C2"/>
    <w:rsid w:val="001457E7"/>
    <w:rsid w:val="00145D9D"/>
    <w:rsid w:val="00146388"/>
    <w:rsid w:val="00151F1E"/>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4DF2"/>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E41"/>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176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537F"/>
    <w:rsid w:val="0026148A"/>
    <w:rsid w:val="00262696"/>
    <w:rsid w:val="00263D25"/>
    <w:rsid w:val="002643C3"/>
    <w:rsid w:val="00264A0C"/>
    <w:rsid w:val="00266EEB"/>
    <w:rsid w:val="00267EF4"/>
    <w:rsid w:val="00270CB8"/>
    <w:rsid w:val="00272B08"/>
    <w:rsid w:val="00281BB8"/>
    <w:rsid w:val="00281E9E"/>
    <w:rsid w:val="00282405"/>
    <w:rsid w:val="00283EE0"/>
    <w:rsid w:val="00285170"/>
    <w:rsid w:val="00285361"/>
    <w:rsid w:val="00290A2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819"/>
    <w:rsid w:val="002A757F"/>
    <w:rsid w:val="002A7F44"/>
    <w:rsid w:val="002B0C40"/>
    <w:rsid w:val="002B1966"/>
    <w:rsid w:val="002B4508"/>
    <w:rsid w:val="002B5779"/>
    <w:rsid w:val="002B57E1"/>
    <w:rsid w:val="002B7332"/>
    <w:rsid w:val="002B7F51"/>
    <w:rsid w:val="002C09E7"/>
    <w:rsid w:val="002C1E06"/>
    <w:rsid w:val="002C3F07"/>
    <w:rsid w:val="002C4019"/>
    <w:rsid w:val="002C5278"/>
    <w:rsid w:val="002C7EBB"/>
    <w:rsid w:val="002D06C1"/>
    <w:rsid w:val="002D42B5"/>
    <w:rsid w:val="002D4F1A"/>
    <w:rsid w:val="002D5ED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3FCC"/>
    <w:rsid w:val="003C4FE6"/>
    <w:rsid w:val="003C5A43"/>
    <w:rsid w:val="003D0519"/>
    <w:rsid w:val="003D0FF6"/>
    <w:rsid w:val="003D262C"/>
    <w:rsid w:val="003D6D61"/>
    <w:rsid w:val="003E019F"/>
    <w:rsid w:val="003E091D"/>
    <w:rsid w:val="003E1C53"/>
    <w:rsid w:val="003E2A69"/>
    <w:rsid w:val="003E2D49"/>
    <w:rsid w:val="003E2FD4"/>
    <w:rsid w:val="003E49F6"/>
    <w:rsid w:val="003E6501"/>
    <w:rsid w:val="003E660F"/>
    <w:rsid w:val="003F0841"/>
    <w:rsid w:val="003F23D3"/>
    <w:rsid w:val="003F3F08"/>
    <w:rsid w:val="003F49F1"/>
    <w:rsid w:val="003F6272"/>
    <w:rsid w:val="00400E72"/>
    <w:rsid w:val="00401400"/>
    <w:rsid w:val="00404869"/>
    <w:rsid w:val="00405884"/>
    <w:rsid w:val="00407D39"/>
    <w:rsid w:val="0041477A"/>
    <w:rsid w:val="004167A3"/>
    <w:rsid w:val="004301E0"/>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5DC0"/>
    <w:rsid w:val="00486BE3"/>
    <w:rsid w:val="004905E4"/>
    <w:rsid w:val="00490A89"/>
    <w:rsid w:val="00490AB4"/>
    <w:rsid w:val="00492F02"/>
    <w:rsid w:val="004939AE"/>
    <w:rsid w:val="004A12DF"/>
    <w:rsid w:val="004A146F"/>
    <w:rsid w:val="004A1BA8"/>
    <w:rsid w:val="004A4B57"/>
    <w:rsid w:val="004A63FA"/>
    <w:rsid w:val="004A6A3D"/>
    <w:rsid w:val="004B0272"/>
    <w:rsid w:val="004B2701"/>
    <w:rsid w:val="004B2E1B"/>
    <w:rsid w:val="004B3AA8"/>
    <w:rsid w:val="004B3E93"/>
    <w:rsid w:val="004C0B3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8BD"/>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DF0"/>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49EF"/>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11B6"/>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8B5"/>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052"/>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6B69"/>
    <w:rsid w:val="009378DD"/>
    <w:rsid w:val="009429D5"/>
    <w:rsid w:val="00942BF1"/>
    <w:rsid w:val="00945180"/>
    <w:rsid w:val="00945428"/>
    <w:rsid w:val="0094607B"/>
    <w:rsid w:val="00950083"/>
    <w:rsid w:val="00953604"/>
    <w:rsid w:val="0095496B"/>
    <w:rsid w:val="00960F1E"/>
    <w:rsid w:val="009610DC"/>
    <w:rsid w:val="00961490"/>
    <w:rsid w:val="0096381A"/>
    <w:rsid w:val="00965E04"/>
    <w:rsid w:val="009674AD"/>
    <w:rsid w:val="00970CDC"/>
    <w:rsid w:val="00975727"/>
    <w:rsid w:val="00977010"/>
    <w:rsid w:val="009776C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379"/>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226D"/>
    <w:rsid w:val="009E4A58"/>
    <w:rsid w:val="009E5A2D"/>
    <w:rsid w:val="009E5AB2"/>
    <w:rsid w:val="009E6219"/>
    <w:rsid w:val="009F03B3"/>
    <w:rsid w:val="00A0096C"/>
    <w:rsid w:val="00A01757"/>
    <w:rsid w:val="00A02243"/>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591"/>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140C"/>
    <w:rsid w:val="00B62B58"/>
    <w:rsid w:val="00B65149"/>
    <w:rsid w:val="00B66567"/>
    <w:rsid w:val="00B66E90"/>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39C5"/>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520"/>
    <w:rsid w:val="00C44BF5"/>
    <w:rsid w:val="00C521D6"/>
    <w:rsid w:val="00C55232"/>
    <w:rsid w:val="00C553A4"/>
    <w:rsid w:val="00C55A06"/>
    <w:rsid w:val="00C55D03"/>
    <w:rsid w:val="00C601BC"/>
    <w:rsid w:val="00C6329F"/>
    <w:rsid w:val="00C63340"/>
    <w:rsid w:val="00C643F9"/>
    <w:rsid w:val="00C64E95"/>
    <w:rsid w:val="00C71372"/>
    <w:rsid w:val="00C72410"/>
    <w:rsid w:val="00C725F6"/>
    <w:rsid w:val="00C7287F"/>
    <w:rsid w:val="00C80CB8"/>
    <w:rsid w:val="00C819F8"/>
    <w:rsid w:val="00C8248C"/>
    <w:rsid w:val="00C84E33"/>
    <w:rsid w:val="00C86D6F"/>
    <w:rsid w:val="00C905FC"/>
    <w:rsid w:val="00C92D03"/>
    <w:rsid w:val="00C9319C"/>
    <w:rsid w:val="00C9435D"/>
    <w:rsid w:val="00C94DF2"/>
    <w:rsid w:val="00C956ED"/>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248"/>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47E36"/>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4364"/>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A1F"/>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8DF"/>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561D"/>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312"/>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7CBC"/>
    <w:rsid w:val="00ED067A"/>
    <w:rsid w:val="00ED2B50"/>
    <w:rsid w:val="00EE0350"/>
    <w:rsid w:val="00EE0719"/>
    <w:rsid w:val="00EE0E80"/>
    <w:rsid w:val="00EE613F"/>
    <w:rsid w:val="00EE7295"/>
    <w:rsid w:val="00EE7869"/>
    <w:rsid w:val="00EF054A"/>
    <w:rsid w:val="00EF3235"/>
    <w:rsid w:val="00EF6FB0"/>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E81466C"/>
    <w:rsid w:val="2384597F"/>
    <w:rsid w:val="28F83F35"/>
    <w:rsid w:val="2EAF1970"/>
    <w:rsid w:val="40382906"/>
    <w:rsid w:val="43C50CDA"/>
    <w:rsid w:val="4AB50637"/>
    <w:rsid w:val="520A400E"/>
    <w:rsid w:val="57911DC4"/>
    <w:rsid w:val="5B1C2201"/>
    <w:rsid w:val="5B3F0CA8"/>
    <w:rsid w:val="74E731D1"/>
    <w:rsid w:val="7D910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8"/>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annotation reference"/>
    <w:basedOn w:val="29"/>
    <w:semiHidden/>
    <w:unhideWhenUsed/>
    <w:qFormat/>
    <w:uiPriority w:val="99"/>
    <w:rPr>
      <w:sz w:val="21"/>
      <w:szCs w:val="21"/>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19"/>
    <w:qFormat/>
    <w:uiPriority w:val="99"/>
    <w:rPr>
      <w:kern w:val="2"/>
      <w:sz w:val="18"/>
      <w:szCs w:val="18"/>
    </w:rPr>
  </w:style>
  <w:style w:type="character" w:customStyle="1" w:styleId="46">
    <w:name w:val="页脚 字符"/>
    <w:link w:val="18"/>
    <w:qFormat/>
    <w:uiPriority w:val="99"/>
    <w:rPr>
      <w:rFonts w:ascii="宋体"/>
      <w:kern w:val="2"/>
      <w:sz w:val="18"/>
      <w:szCs w:val="18"/>
    </w:rPr>
  </w:style>
  <w:style w:type="character" w:customStyle="1" w:styleId="47">
    <w:name w:val="批注框文本 字符"/>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6"/>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9"/>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qFormat/>
    <w:uiPriority w:val="0"/>
    <w:rPr>
      <w:rFonts w:ascii="黑体" w:eastAsia="黑体"/>
      <w:spacing w:val="85"/>
      <w:w w:val="100"/>
      <w:position w:val="3"/>
      <w:sz w:val="28"/>
      <w:szCs w:val="28"/>
    </w:rPr>
  </w:style>
  <w:style w:type="paragraph" w:customStyle="1" w:styleId="232">
    <w:name w:val="Table Text"/>
    <w:basedOn w:val="1"/>
    <w:semiHidden/>
    <w:qFormat/>
    <w:uiPriority w:val="0"/>
    <w:rPr>
      <w:rFonts w:ascii="宋体" w:hAnsi="宋体" w:cs="宋体"/>
      <w:sz w:val="51"/>
      <w:szCs w:val="51"/>
    </w:rPr>
  </w:style>
  <w:style w:type="table" w:customStyle="1" w:styleId="233">
    <w:name w:val="Table Normal"/>
    <w:basedOn w:val="27"/>
    <w:qFormat/>
    <w:uiPriority w:val="0"/>
    <w:rPr>
      <w:rFonts w:ascii="Times New Roman" w:hAnsi="Times New Roman" w:eastAsia="Times New Roman"/>
    </w:rPr>
    <w:tblPr>
      <w:tblCellMar>
        <w:left w:w="0" w:type="dxa"/>
        <w:right w:w="0" w:type="dxa"/>
      </w:tblCellMar>
    </w:tblPr>
  </w:style>
  <w:style w:type="paragraph" w:customStyle="1" w:styleId="234">
    <w:name w:val="修订1"/>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F04633F4BE4B01966387BECABBFAD5"/>
        <w:style w:val=""/>
        <w:category>
          <w:name w:val="常规"/>
          <w:gallery w:val="placeholder"/>
        </w:category>
        <w:types>
          <w:type w:val="bbPlcHdr"/>
        </w:types>
        <w:behaviors>
          <w:behavior w:val="content"/>
        </w:behaviors>
        <w:description w:val=""/>
        <w:guid w:val="{8B162208-6736-433E-85C8-E024052B3086}"/>
      </w:docPartPr>
      <w:docPartBody>
        <w:p w14:paraId="7E3B53F5">
          <w:pPr>
            <w:pStyle w:val="5"/>
            <w:rPr>
              <w:rFonts w:hint="eastAsia"/>
            </w:rPr>
          </w:pPr>
          <w:r>
            <w:rPr>
              <w:rStyle w:val="4"/>
              <w:rFonts w:hint="eastAsia"/>
            </w:rPr>
            <w:t>单击或点击此处输入文字。</w:t>
          </w:r>
        </w:p>
      </w:docPartBody>
    </w:docPart>
    <w:docPart>
      <w:docPartPr>
        <w:name w:val="80D7CC02FC6E4F09A63771288B76D2A7"/>
        <w:style w:val=""/>
        <w:category>
          <w:name w:val="常规"/>
          <w:gallery w:val="placeholder"/>
        </w:category>
        <w:types>
          <w:type w:val="bbPlcHdr"/>
        </w:types>
        <w:behaviors>
          <w:behavior w:val="content"/>
        </w:behaviors>
        <w:description w:val=""/>
        <w:guid w:val="{79305CE8-87D6-46F0-9693-F6A4DB1CC26D}"/>
      </w:docPartPr>
      <w:docPartBody>
        <w:p w14:paraId="7DBFAD88">
          <w:pPr>
            <w:pStyle w:val="6"/>
            <w:rPr>
              <w:rFonts w:hint="eastAsia"/>
            </w:rPr>
          </w:pPr>
          <w:r>
            <w:rPr>
              <w:rStyle w:val="4"/>
              <w:rFonts w:hint="eastAsia"/>
            </w:rPr>
            <w:t>选择一项。</w:t>
          </w:r>
        </w:p>
      </w:docPartBody>
    </w:docPart>
    <w:docPart>
      <w:docPartPr>
        <w:name w:val="1FA5B4F5B0FA466CB69065C8FEFC53F6"/>
        <w:style w:val=""/>
        <w:category>
          <w:name w:val="常规"/>
          <w:gallery w:val="placeholder"/>
        </w:category>
        <w:types>
          <w:type w:val="bbPlcHdr"/>
        </w:types>
        <w:behaviors>
          <w:behavior w:val="content"/>
        </w:behaviors>
        <w:description w:val=""/>
        <w:guid w:val="{1E2637F0-C2AE-4B40-8BBA-C931D216848C}"/>
      </w:docPartPr>
      <w:docPartBody>
        <w:p w14:paraId="3B097571">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E7"/>
    <w:rsid w:val="00031095"/>
    <w:rsid w:val="000A7555"/>
    <w:rsid w:val="000C352E"/>
    <w:rsid w:val="00211765"/>
    <w:rsid w:val="002D5ED6"/>
    <w:rsid w:val="003C4FE6"/>
    <w:rsid w:val="004E736F"/>
    <w:rsid w:val="00684BFB"/>
    <w:rsid w:val="00693A13"/>
    <w:rsid w:val="008C0404"/>
    <w:rsid w:val="00920598"/>
    <w:rsid w:val="00936275"/>
    <w:rsid w:val="00990D10"/>
    <w:rsid w:val="009948FF"/>
    <w:rsid w:val="009A3962"/>
    <w:rsid w:val="00A02243"/>
    <w:rsid w:val="00A07105"/>
    <w:rsid w:val="00A96DFC"/>
    <w:rsid w:val="00B028F6"/>
    <w:rsid w:val="00B403E7"/>
    <w:rsid w:val="00BB39C5"/>
    <w:rsid w:val="00D30C02"/>
    <w:rsid w:val="00D47E36"/>
    <w:rsid w:val="00E84312"/>
    <w:rsid w:val="00EC7CBC"/>
    <w:rsid w:val="00F50023"/>
    <w:rsid w:val="00FB5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8F04633F4BE4B01966387BECABBFAD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80D7CC02FC6E4F09A63771288B76D2A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1FA5B4F5B0FA466CB69065C8FEFC53F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2676</Words>
  <Characters>2831</Characters>
  <Lines>309</Lines>
  <Paragraphs>328</Paragraphs>
  <TotalTime>2</TotalTime>
  <ScaleCrop>false</ScaleCrop>
  <LinksUpToDate>false</LinksUpToDate>
  <CharactersWithSpaces>2923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2025-04-24T06:30:00Z</dcterms:created>
  <dc:creator>lenovo</dc:creator>
  <dc:description>&lt;config cover="true" show_menu="true" version="1.0.0" doctype="SDKXY"&gt;_x000d_
&lt;/config&gt;</dc:description>
  <cp:lastModifiedBy>Coral</cp:lastModifiedBy>
  <cp:lastPrinted>2021-02-02T08:22:00Z</cp:lastPrinted>
  <dcterms:modified xsi:type="dcterms:W3CDTF">2025-05-09T06:18:07Z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050E7C1A280B466F8158520D1A877314_13</vt:lpwstr>
  </property>
  <property fmtid="{D5CDD505-2E9C-101B-9397-08002B2CF9AE}" pid="16" name="KSOTemplateDocerSaveRecord">
    <vt:lpwstr>eyJoZGlkIjoiYTBkNjFlMmU3NjE5NWJjZWEzYWZlZTdlOTFhMTY2OGIiLCJ1c2VySWQiOiIyNzA2MTMwNTcifQ==</vt:lpwstr>
  </property>
</Properties>
</file>